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380"/>
      </w:tblGrid>
      <w:tr w:rsidR="00DB0103" w:rsidRPr="002E6E78" w14:paraId="03F820B3" w14:textId="77777777">
        <w:trPr>
          <w:trHeight w:val="1008"/>
        </w:trPr>
        <w:tc>
          <w:tcPr>
            <w:tcW w:w="1980" w:type="dxa"/>
            <w:shd w:val="clear" w:color="1F497D" w:fill="244061"/>
            <w:vAlign w:val="center"/>
          </w:tcPr>
          <w:p w14:paraId="25BFB958" w14:textId="1F7BDF62" w:rsidR="00DB0103" w:rsidRPr="00195F63" w:rsidRDefault="004F18FC" w:rsidP="00563648">
            <w:pPr>
              <w:pStyle w:val="Header-banner"/>
              <w:rPr>
                <w:rFonts w:ascii="Calibri" w:hAnsi="Calibri"/>
              </w:rPr>
            </w:pPr>
            <w:bookmarkStart w:id="0" w:name="_Toc356982305"/>
            <w:bookmarkStart w:id="1" w:name="_GoBack"/>
            <w:bookmarkEnd w:id="1"/>
            <w:r>
              <w:rPr>
                <w:rFonts w:ascii="Calibri" w:hAnsi="Calibri"/>
              </w:rPr>
              <w:t>11.2</w:t>
            </w:r>
          </w:p>
        </w:tc>
        <w:tc>
          <w:tcPr>
            <w:tcW w:w="7380" w:type="dxa"/>
            <w:shd w:val="clear" w:color="1F497D" w:fill="365F91"/>
            <w:vAlign w:val="center"/>
          </w:tcPr>
          <w:p w14:paraId="47362A0D" w14:textId="77777777" w:rsidR="00DB0103" w:rsidRPr="00195F63" w:rsidRDefault="00DB0103" w:rsidP="00811F08">
            <w:pPr>
              <w:pStyle w:val="Header2banner"/>
              <w:rPr>
                <w:rFonts w:ascii="Calibri" w:hAnsi="Calibri"/>
              </w:rPr>
            </w:pPr>
            <w:r w:rsidRPr="00195F63">
              <w:rPr>
                <w:rFonts w:ascii="Calibri" w:hAnsi="Calibri"/>
              </w:rPr>
              <w:t>Module Overview</w:t>
            </w:r>
          </w:p>
        </w:tc>
      </w:tr>
      <w:tr w:rsidR="00DB0103" w:rsidRPr="002E6E78" w14:paraId="0258657B" w14:textId="77777777">
        <w:trPr>
          <w:trHeight w:val="1008"/>
        </w:trPr>
        <w:tc>
          <w:tcPr>
            <w:tcW w:w="9360" w:type="dxa"/>
            <w:gridSpan w:val="2"/>
            <w:shd w:val="solid" w:color="F2F2F2" w:fill="auto"/>
            <w:vAlign w:val="center"/>
          </w:tcPr>
          <w:p w14:paraId="610B1CB0" w14:textId="6BC784A4" w:rsidR="00DB0103" w:rsidRPr="00195F63" w:rsidRDefault="004F18FC" w:rsidP="00A20875">
            <w:pPr>
              <w:pStyle w:val="Heading1nospace"/>
              <w:rPr>
                <w:rFonts w:ascii="Calibri" w:hAnsi="Calibri"/>
              </w:rPr>
            </w:pPr>
            <w:r>
              <w:t>“</w:t>
            </w:r>
            <w:r w:rsidR="00A20875">
              <w:t>There is within and without the sound of conflict</w:t>
            </w:r>
            <w:r>
              <w:t>”</w:t>
            </w:r>
            <w:r w:rsidR="00596F95">
              <w:t>: How do authors use figurative language or rhetoric to advance</w:t>
            </w:r>
            <w:r w:rsidR="00CB206B">
              <w:t xml:space="preserve"> their</w:t>
            </w:r>
            <w:r w:rsidR="00596F95">
              <w:t xml:space="preserve"> point of view or purpose? </w:t>
            </w:r>
            <w:r w:rsidR="001A4BA7">
              <w:t xml:space="preserve"> </w:t>
            </w:r>
          </w:p>
        </w:tc>
      </w:tr>
      <w:tr w:rsidR="00DB0103" w:rsidRPr="002E6E78" w14:paraId="450A430B" w14:textId="77777777">
        <w:trPr>
          <w:trHeight w:val="1008"/>
        </w:trPr>
        <w:tc>
          <w:tcPr>
            <w:tcW w:w="1980" w:type="dxa"/>
            <w:shd w:val="solid" w:color="F2F2F2" w:fill="auto"/>
          </w:tcPr>
          <w:p w14:paraId="1439D57C" w14:textId="77777777" w:rsidR="00DB0103" w:rsidRPr="002E6E78" w:rsidRDefault="00DB0103" w:rsidP="00A51B45">
            <w:pPr>
              <w:rPr>
                <w:b/>
                <w:color w:val="244061"/>
                <w:sz w:val="24"/>
              </w:rPr>
            </w:pPr>
            <w:r w:rsidRPr="002E6E78">
              <w:rPr>
                <w:b/>
                <w:color w:val="244061"/>
                <w:sz w:val="24"/>
              </w:rPr>
              <w:t>Texts</w:t>
            </w:r>
          </w:p>
        </w:tc>
        <w:tc>
          <w:tcPr>
            <w:tcW w:w="7380" w:type="dxa"/>
            <w:shd w:val="solid" w:color="F2F2F2" w:fill="auto"/>
            <w:vAlign w:val="center"/>
          </w:tcPr>
          <w:p w14:paraId="09BFB990" w14:textId="411AD36A" w:rsidR="00DB0103" w:rsidRPr="002E6E78" w:rsidRDefault="00DB0103" w:rsidP="00A51B45">
            <w:pPr>
              <w:rPr>
                <w:color w:val="000000"/>
              </w:rPr>
            </w:pPr>
            <w:r w:rsidRPr="002E6E78">
              <w:rPr>
                <w:b/>
                <w:color w:val="000000"/>
              </w:rPr>
              <w:t>Unit 1:</w:t>
            </w:r>
            <w:r w:rsidR="00564268">
              <w:rPr>
                <w:color w:val="000000"/>
              </w:rPr>
              <w:t xml:space="preserve"> </w:t>
            </w:r>
            <w:r w:rsidR="00EE42EC">
              <w:rPr>
                <w:i/>
                <w:color w:val="000000"/>
              </w:rPr>
              <w:t xml:space="preserve">The Souls of Black Folk </w:t>
            </w:r>
            <w:r w:rsidR="00EE42EC">
              <w:rPr>
                <w:color w:val="000000"/>
              </w:rPr>
              <w:t xml:space="preserve">by W.E.B. Du Bois, Chapter 1: </w:t>
            </w:r>
            <w:r w:rsidR="00564268">
              <w:rPr>
                <w:color w:val="000000"/>
              </w:rPr>
              <w:t>“Of Our Spiritual Strivings</w:t>
            </w:r>
            <w:r w:rsidR="00EE42EC">
              <w:rPr>
                <w:color w:val="000000"/>
              </w:rPr>
              <w:t>”;</w:t>
            </w:r>
            <w:r w:rsidR="00895C5C">
              <w:rPr>
                <w:color w:val="000000"/>
              </w:rPr>
              <w:t xml:space="preserve"> </w:t>
            </w:r>
            <w:r w:rsidR="004F18FC">
              <w:rPr>
                <w:color w:val="000000"/>
              </w:rPr>
              <w:t>“</w:t>
            </w:r>
            <w:r w:rsidR="00565813">
              <w:rPr>
                <w:color w:val="000000"/>
              </w:rPr>
              <w:t>Atlanta Compromise Speech</w:t>
            </w:r>
            <w:r w:rsidR="00895C5C">
              <w:rPr>
                <w:color w:val="000000"/>
              </w:rPr>
              <w:t xml:space="preserve">” </w:t>
            </w:r>
            <w:r w:rsidR="00565813">
              <w:rPr>
                <w:color w:val="000000"/>
              </w:rPr>
              <w:t xml:space="preserve">by </w:t>
            </w:r>
            <w:r w:rsidR="00895C5C">
              <w:rPr>
                <w:color w:val="000000"/>
              </w:rPr>
              <w:t>Booker T. Washington</w:t>
            </w:r>
          </w:p>
          <w:p w14:paraId="48C191FC" w14:textId="29FF664B" w:rsidR="00DB0103" w:rsidRPr="002E6E78" w:rsidRDefault="00DB0103" w:rsidP="00565813">
            <w:r w:rsidRPr="002E6E78">
              <w:rPr>
                <w:b/>
                <w:color w:val="000000"/>
              </w:rPr>
              <w:t>Unit 2:</w:t>
            </w:r>
            <w:r w:rsidRPr="002E6E78">
              <w:rPr>
                <w:color w:val="000000"/>
              </w:rPr>
              <w:t xml:space="preserve"> </w:t>
            </w:r>
            <w:r w:rsidR="004F18FC">
              <w:rPr>
                <w:color w:val="000000"/>
              </w:rPr>
              <w:t>“An Address by Elizabeth Cady Stanton”</w:t>
            </w:r>
            <w:r w:rsidR="0070579A">
              <w:rPr>
                <w:color w:val="000000"/>
              </w:rPr>
              <w:t>;</w:t>
            </w:r>
            <w:r w:rsidR="004F18FC">
              <w:rPr>
                <w:color w:val="000000"/>
              </w:rPr>
              <w:t xml:space="preserve"> “From the House of Yemanj</w:t>
            </w:r>
            <w:r w:rsidR="0046347A">
              <w:rPr>
                <w:color w:val="000000"/>
              </w:rPr>
              <w:t>á</w:t>
            </w:r>
            <w:r w:rsidR="004F18FC">
              <w:rPr>
                <w:color w:val="000000"/>
              </w:rPr>
              <w:t>”</w:t>
            </w:r>
            <w:r w:rsidR="00565813">
              <w:rPr>
                <w:color w:val="000000"/>
              </w:rPr>
              <w:t xml:space="preserve"> by</w:t>
            </w:r>
            <w:r w:rsidR="004F18FC">
              <w:rPr>
                <w:color w:val="000000"/>
              </w:rPr>
              <w:t xml:space="preserve"> Audre Lorde</w:t>
            </w:r>
          </w:p>
        </w:tc>
      </w:tr>
      <w:tr w:rsidR="00DB0103" w:rsidRPr="002E6E78" w14:paraId="69E053A9" w14:textId="77777777">
        <w:trPr>
          <w:trHeight w:val="585"/>
        </w:trPr>
        <w:tc>
          <w:tcPr>
            <w:tcW w:w="1980" w:type="dxa"/>
            <w:shd w:val="solid" w:color="F2F2F2" w:fill="auto"/>
          </w:tcPr>
          <w:p w14:paraId="35BAD650" w14:textId="77777777" w:rsidR="00DB0103" w:rsidRPr="002E6E78" w:rsidRDefault="00DB0103" w:rsidP="00033071">
            <w:pPr>
              <w:rPr>
                <w:b/>
                <w:color w:val="244061"/>
                <w:sz w:val="24"/>
              </w:rPr>
            </w:pPr>
            <w:r w:rsidRPr="002E6E78">
              <w:rPr>
                <w:b/>
                <w:color w:val="244061"/>
                <w:sz w:val="24"/>
              </w:rPr>
              <w:t xml:space="preserve">Number of Lessons </w:t>
            </w:r>
            <w:r w:rsidRPr="002E6E78">
              <w:rPr>
                <w:b/>
                <w:color w:val="244061"/>
                <w:sz w:val="24"/>
              </w:rPr>
              <w:br/>
              <w:t>in Module</w:t>
            </w:r>
          </w:p>
        </w:tc>
        <w:tc>
          <w:tcPr>
            <w:tcW w:w="7380" w:type="dxa"/>
            <w:shd w:val="solid" w:color="F2F2F2" w:fill="auto"/>
            <w:vAlign w:val="center"/>
          </w:tcPr>
          <w:p w14:paraId="5BBC8251" w14:textId="0561A763" w:rsidR="00DB0103" w:rsidRPr="002E6E78" w:rsidRDefault="008A2B08" w:rsidP="004C0635">
            <w:r>
              <w:t>4</w:t>
            </w:r>
            <w:r w:rsidR="00F44671">
              <w:t>2</w:t>
            </w:r>
            <w:r w:rsidRPr="002E6E78">
              <w:t xml:space="preserve"> </w:t>
            </w:r>
            <w:r w:rsidR="00DB0103" w:rsidRPr="002E6E78">
              <w:t xml:space="preserve">(including Module Performance </w:t>
            </w:r>
            <w:r w:rsidR="004C0635">
              <w:t>Assessment</w:t>
            </w:r>
            <w:r w:rsidR="00DB0103" w:rsidRPr="002E6E78">
              <w:t>)</w:t>
            </w:r>
          </w:p>
        </w:tc>
      </w:tr>
    </w:tbl>
    <w:bookmarkEnd w:id="0"/>
    <w:p w14:paraId="5DF66C5C" w14:textId="77777777" w:rsidR="00DB0103" w:rsidRPr="002E6E78" w:rsidRDefault="00DB0103" w:rsidP="00CE416E">
      <w:pPr>
        <w:pStyle w:val="Heading1"/>
      </w:pPr>
      <w:r w:rsidRPr="002E6E78">
        <w:t>Introduction</w:t>
      </w:r>
    </w:p>
    <w:p w14:paraId="51A7E9D3" w14:textId="1006D45A" w:rsidR="005D7B93" w:rsidRDefault="005D7B93" w:rsidP="007F1DE4">
      <w:pPr>
        <w:spacing w:before="120" w:after="200"/>
      </w:pPr>
      <w:r w:rsidRPr="002E6E78">
        <w:t xml:space="preserve">In this module, students read, discuss, and analyze literary and </w:t>
      </w:r>
      <w:r w:rsidR="008878B1">
        <w:t>informational</w:t>
      </w:r>
      <w:r w:rsidRPr="002E6E78">
        <w:t xml:space="preserve"> texts</w:t>
      </w:r>
      <w:r w:rsidR="00271FB3">
        <w:t>,</w:t>
      </w:r>
      <w:r w:rsidRPr="002E6E78">
        <w:t xml:space="preserve"> focusing on how</w:t>
      </w:r>
      <w:r w:rsidR="00895C5C">
        <w:t xml:space="preserve"> au</w:t>
      </w:r>
      <w:r w:rsidR="004F18FC">
        <w:t xml:space="preserve">thors </w:t>
      </w:r>
      <w:r w:rsidR="008A2B08">
        <w:t xml:space="preserve">use </w:t>
      </w:r>
      <w:r w:rsidR="005055F3">
        <w:t>word choice and rhetoric</w:t>
      </w:r>
      <w:r w:rsidR="008878B1">
        <w:t xml:space="preserve"> to develop ideas </w:t>
      </w:r>
      <w:r w:rsidR="004E1440">
        <w:t xml:space="preserve">and </w:t>
      </w:r>
      <w:r w:rsidR="00B27112">
        <w:t>advance their point</w:t>
      </w:r>
      <w:r w:rsidR="00197B59">
        <w:t>s</w:t>
      </w:r>
      <w:r w:rsidR="00B27112">
        <w:t xml:space="preserve"> of view and </w:t>
      </w:r>
      <w:r w:rsidR="008878B1">
        <w:t>purpose</w:t>
      </w:r>
      <w:r w:rsidR="00197B59">
        <w:t>s</w:t>
      </w:r>
      <w:r w:rsidR="00B27112">
        <w:t xml:space="preserve">. </w:t>
      </w:r>
      <w:r w:rsidR="00660437">
        <w:t>The texts in this module</w:t>
      </w:r>
      <w:r w:rsidR="005055F3">
        <w:t xml:space="preserve"> </w:t>
      </w:r>
      <w:r w:rsidR="007E17B9">
        <w:t>represent</w:t>
      </w:r>
      <w:r w:rsidR="005055F3">
        <w:t xml:space="preserve"> </w:t>
      </w:r>
      <w:r w:rsidR="00197B59">
        <w:t xml:space="preserve">varied </w:t>
      </w:r>
      <w:r w:rsidR="00271FB3">
        <w:t xml:space="preserve">voices, </w:t>
      </w:r>
      <w:r w:rsidR="007E17B9">
        <w:t>experiences</w:t>
      </w:r>
      <w:r w:rsidR="004E1440">
        <w:t xml:space="preserve">, </w:t>
      </w:r>
      <w:r w:rsidR="00271FB3">
        <w:t xml:space="preserve">and perspectives, </w:t>
      </w:r>
      <w:r w:rsidR="004E1440">
        <w:t xml:space="preserve">but are united </w:t>
      </w:r>
      <w:r w:rsidR="005055F3">
        <w:t>by their shared</w:t>
      </w:r>
      <w:r w:rsidR="00271FB3">
        <w:t xml:space="preserve"> exploration of</w:t>
      </w:r>
      <w:r w:rsidR="008878B1">
        <w:t xml:space="preserve"> the effect</w:t>
      </w:r>
      <w:r w:rsidR="00B27112">
        <w:t>s</w:t>
      </w:r>
      <w:r w:rsidR="008878B1">
        <w:t xml:space="preserve"> of </w:t>
      </w:r>
      <w:r w:rsidR="00660437">
        <w:t>prejudice and oppression</w:t>
      </w:r>
      <w:r w:rsidR="008A2B08">
        <w:t xml:space="preserve"> </w:t>
      </w:r>
      <w:r w:rsidR="00B27112">
        <w:t>on</w:t>
      </w:r>
      <w:r w:rsidR="008A2B08">
        <w:t xml:space="preserve"> identity</w:t>
      </w:r>
      <w:r w:rsidR="00B27112">
        <w:t xml:space="preserve"> construction</w:t>
      </w:r>
      <w:r w:rsidR="00660437">
        <w:t xml:space="preserve">. </w:t>
      </w:r>
      <w:r w:rsidR="008878B1" w:rsidRPr="002E6E78">
        <w:t xml:space="preserve">Each of the module texts is a complex work with multiple central ideas </w:t>
      </w:r>
      <w:r w:rsidR="008878B1">
        <w:t xml:space="preserve">and claims </w:t>
      </w:r>
      <w:r w:rsidR="008878B1" w:rsidRPr="002E6E78">
        <w:t xml:space="preserve">that complement the central ideas </w:t>
      </w:r>
      <w:r w:rsidR="008878B1">
        <w:t xml:space="preserve">and claims </w:t>
      </w:r>
      <w:r w:rsidR="008878B1" w:rsidRPr="002E6E78">
        <w:t xml:space="preserve">of other texts in the module. </w:t>
      </w:r>
      <w:r w:rsidR="007D06B4">
        <w:t>All four module texts</w:t>
      </w:r>
      <w:r w:rsidR="008878B1" w:rsidRPr="002E6E78">
        <w:t xml:space="preserve"> offer rich opportunit</w:t>
      </w:r>
      <w:r w:rsidR="008878B1">
        <w:t>ies to analyze authorial engagement with</w:t>
      </w:r>
      <w:r w:rsidR="007E17B9">
        <w:t xml:space="preserve"> </w:t>
      </w:r>
      <w:r w:rsidR="00D8640A">
        <w:t xml:space="preserve">past and present </w:t>
      </w:r>
      <w:r w:rsidR="008878B1">
        <w:t>struggle</w:t>
      </w:r>
      <w:r w:rsidR="005055F3">
        <w:t>s</w:t>
      </w:r>
      <w:r w:rsidR="008878B1">
        <w:t xml:space="preserve"> </w:t>
      </w:r>
      <w:r w:rsidR="007E17B9">
        <w:t>against oppression</w:t>
      </w:r>
      <w:r w:rsidR="00271FB3">
        <w:t>,</w:t>
      </w:r>
      <w:r w:rsidR="005055F3">
        <w:t xml:space="preserve"> </w:t>
      </w:r>
      <w:r w:rsidR="00B304BD">
        <w:t>as well as</w:t>
      </w:r>
      <w:r w:rsidR="007D06B4">
        <w:t xml:space="preserve"> how an author’s r</w:t>
      </w:r>
      <w:r w:rsidR="00055DE4">
        <w:t>hetoric</w:t>
      </w:r>
      <w:r w:rsidR="007D06B4">
        <w:t xml:space="preserve"> or word choices </w:t>
      </w:r>
      <w:r w:rsidR="005055F3">
        <w:t xml:space="preserve">strengthen the </w:t>
      </w:r>
      <w:r w:rsidR="004E1440">
        <w:t>power</w:t>
      </w:r>
      <w:r w:rsidR="00B304BD">
        <w:t xml:space="preserve"> and persuasiveness</w:t>
      </w:r>
      <w:r w:rsidR="004E1440">
        <w:t xml:space="preserve"> of the </w:t>
      </w:r>
      <w:r w:rsidR="007D06B4">
        <w:t>text</w:t>
      </w:r>
      <w:r w:rsidR="008878B1">
        <w:t>.</w:t>
      </w:r>
    </w:p>
    <w:p w14:paraId="31C22CC7" w14:textId="01DBCAF0" w:rsidR="005D7B93" w:rsidRPr="002E6E78" w:rsidRDefault="00BF4565" w:rsidP="00FE7D47">
      <w:pPr>
        <w:spacing w:after="200"/>
      </w:pPr>
      <w:r>
        <w:t>This module builds upon</w:t>
      </w:r>
      <w:r w:rsidR="008878B1">
        <w:t xml:space="preserve"> key protocols and routines for reading, writing, and discussion established and developed in</w:t>
      </w:r>
      <w:r>
        <w:t xml:space="preserve"> Module 11.1</w:t>
      </w:r>
      <w:r w:rsidR="008878B1">
        <w:t xml:space="preserve">. </w:t>
      </w:r>
      <w:r w:rsidR="008878B1" w:rsidRPr="002E6E78">
        <w:t>Although these protocols are introduced in the ninth</w:t>
      </w:r>
      <w:r w:rsidR="008878B1">
        <w:t xml:space="preserve"> and tenth</w:t>
      </w:r>
      <w:r w:rsidR="008878B1" w:rsidRPr="002E6E78">
        <w:t xml:space="preserve"> grade modules and spiral through the</w:t>
      </w:r>
      <w:r w:rsidR="008878B1">
        <w:t xml:space="preserve"> first eleventh grade module </w:t>
      </w:r>
      <w:r w:rsidR="008878B1" w:rsidRPr="002E6E78">
        <w:t>of this curriculum, this module provides sufficient support for teachers who are implementing the</w:t>
      </w:r>
      <w:r w:rsidR="005055F3">
        <w:t>se</w:t>
      </w:r>
      <w:r w:rsidR="008878B1" w:rsidRPr="002E6E78">
        <w:t xml:space="preserve"> routines for the first time.</w:t>
      </w:r>
    </w:p>
    <w:p w14:paraId="68CF3F2E" w14:textId="710D440E" w:rsidR="00531FF8" w:rsidRDefault="00BF4565" w:rsidP="00FE7D47">
      <w:pPr>
        <w:spacing w:after="200"/>
      </w:pPr>
      <w:r>
        <w:t>Module 11.</w:t>
      </w:r>
      <w:r w:rsidR="008A2B08">
        <w:t>2</w:t>
      </w:r>
      <w:r w:rsidR="008A2B08" w:rsidRPr="002E6E78">
        <w:t xml:space="preserve"> </w:t>
      </w:r>
      <w:r w:rsidR="005D7B93" w:rsidRPr="002E6E78">
        <w:t xml:space="preserve">is comprised of </w:t>
      </w:r>
      <w:r w:rsidR="0091483A">
        <w:t>two</w:t>
      </w:r>
      <w:r w:rsidR="0091483A" w:rsidRPr="002E6E78">
        <w:t xml:space="preserve"> </w:t>
      </w:r>
      <w:r w:rsidR="008878B1">
        <w:t xml:space="preserve">units </w:t>
      </w:r>
      <w:r w:rsidR="008878B1" w:rsidRPr="002E6E78">
        <w:t xml:space="preserve">referred to as </w:t>
      </w:r>
      <w:r w:rsidR="008878B1">
        <w:t>Unit 1</w:t>
      </w:r>
      <w:r w:rsidR="008F3744">
        <w:t>1</w:t>
      </w:r>
      <w:r w:rsidR="008878B1">
        <w:t>.2</w:t>
      </w:r>
      <w:r w:rsidR="008878B1" w:rsidRPr="002E6E78">
        <w:t>.1</w:t>
      </w:r>
      <w:r w:rsidR="008F3744">
        <w:t xml:space="preserve"> and</w:t>
      </w:r>
      <w:r w:rsidR="008878B1" w:rsidRPr="002E6E78">
        <w:t xml:space="preserve"> </w:t>
      </w:r>
      <w:r w:rsidR="008F3744">
        <w:t>Unit 11</w:t>
      </w:r>
      <w:r w:rsidR="008878B1">
        <w:t>.2</w:t>
      </w:r>
      <w:r w:rsidR="008F3744">
        <w:t>.2</w:t>
      </w:r>
      <w:r w:rsidR="008878B1" w:rsidRPr="002E6E78">
        <w:t>.</w:t>
      </w:r>
      <w:r w:rsidR="008878B1">
        <w:t xml:space="preserve"> </w:t>
      </w:r>
      <w:r w:rsidR="005D7B93" w:rsidRPr="002E6E78">
        <w:t xml:space="preserve">In </w:t>
      </w:r>
      <w:r w:rsidR="005D7B93">
        <w:t>U</w:t>
      </w:r>
      <w:r>
        <w:t>nit 11.</w:t>
      </w:r>
      <w:r w:rsidR="0091483A">
        <w:t>2</w:t>
      </w:r>
      <w:r w:rsidR="005D7B93" w:rsidRPr="002E6E78">
        <w:t xml:space="preserve">.1, students </w:t>
      </w:r>
      <w:r w:rsidR="00271FB3">
        <w:t xml:space="preserve">analyze </w:t>
      </w:r>
      <w:r w:rsidR="008F3744">
        <w:t xml:space="preserve">“Of Our Spiritual Strivings,” the first chapter of W.E.B. Du Bois’s </w:t>
      </w:r>
      <w:r w:rsidR="008F3744" w:rsidRPr="003C62F8">
        <w:rPr>
          <w:i/>
        </w:rPr>
        <w:t>The Souls of Black Folk</w:t>
      </w:r>
      <w:r w:rsidR="007D06B4">
        <w:rPr>
          <w:i/>
        </w:rPr>
        <w:t>,</w:t>
      </w:r>
      <w:r w:rsidR="007D06B4">
        <w:t xml:space="preserve"> followed by</w:t>
      </w:r>
      <w:r w:rsidR="008F3744">
        <w:t xml:space="preserve"> Booker T. Washington’s</w:t>
      </w:r>
      <w:r w:rsidR="00B304BD">
        <w:t xml:space="preserve"> </w:t>
      </w:r>
      <w:r w:rsidR="008F3744">
        <w:t>“Atlanta Compromise Speech.</w:t>
      </w:r>
      <w:r w:rsidR="00B304BD">
        <w:t>”</w:t>
      </w:r>
      <w:r w:rsidR="008F3744">
        <w:t xml:space="preserve"> </w:t>
      </w:r>
      <w:r w:rsidR="00271FB3">
        <w:t xml:space="preserve">Student analysis focuses on how </w:t>
      </w:r>
      <w:r w:rsidR="008F3744">
        <w:t>each author</w:t>
      </w:r>
      <w:r w:rsidR="00241836">
        <w:t xml:space="preserve"> use</w:t>
      </w:r>
      <w:r w:rsidR="008F3744">
        <w:t xml:space="preserve">s </w:t>
      </w:r>
      <w:r w:rsidR="00241836">
        <w:t>rhetoric to</w:t>
      </w:r>
      <w:r w:rsidR="00876DB7">
        <w:t xml:space="preserve"> strengthen and develop</w:t>
      </w:r>
      <w:r w:rsidR="00271FB3">
        <w:t xml:space="preserve"> </w:t>
      </w:r>
      <w:r w:rsidR="00197B59">
        <w:t xml:space="preserve">his </w:t>
      </w:r>
      <w:r w:rsidR="00596F95">
        <w:t>argument about the role of African Americans in post-</w:t>
      </w:r>
      <w:r w:rsidR="00596F95">
        <w:lastRenderedPageBreak/>
        <w:t xml:space="preserve">Emancipation America. </w:t>
      </w:r>
      <w:r w:rsidR="00EC218C">
        <w:t xml:space="preserve">Read side by side, these texts </w:t>
      </w:r>
      <w:r w:rsidR="007D06B4">
        <w:t>offer students the opportunit</w:t>
      </w:r>
      <w:r w:rsidR="00197B59">
        <w:t>ies</w:t>
      </w:r>
      <w:r w:rsidR="007D06B4">
        <w:t xml:space="preserve"> to</w:t>
      </w:r>
      <w:r w:rsidR="00EC218C">
        <w:t xml:space="preserve"> analyze</w:t>
      </w:r>
      <w:r w:rsidR="007D06B4">
        <w:t xml:space="preserve"> the diverse ways in which rhetorical strategies contribute to </w:t>
      </w:r>
      <w:r w:rsidR="008F3744">
        <w:t xml:space="preserve">persuasive </w:t>
      </w:r>
      <w:r w:rsidR="00B304BD">
        <w:t>writing</w:t>
      </w:r>
      <w:r w:rsidR="00F44671">
        <w:t xml:space="preserve">, </w:t>
      </w:r>
      <w:r w:rsidR="00197B59">
        <w:t xml:space="preserve">and to </w:t>
      </w:r>
      <w:r w:rsidR="008F3744">
        <w:t>strengthen their</w:t>
      </w:r>
      <w:r w:rsidR="00EC218C">
        <w:t xml:space="preserve"> </w:t>
      </w:r>
      <w:r w:rsidR="00B304BD">
        <w:t xml:space="preserve">own </w:t>
      </w:r>
      <w:r w:rsidR="00EC218C">
        <w:t>informative</w:t>
      </w:r>
      <w:r w:rsidR="00B304BD">
        <w:t>/</w:t>
      </w:r>
      <w:r w:rsidR="00EC218C">
        <w:t>expl</w:t>
      </w:r>
      <w:r w:rsidR="00391664">
        <w:t xml:space="preserve">anatory writing skills as they </w:t>
      </w:r>
      <w:r w:rsidR="00167FC8">
        <w:t>consider</w:t>
      </w:r>
      <w:r w:rsidR="00391664">
        <w:t xml:space="preserve"> </w:t>
      </w:r>
      <w:r w:rsidR="008F3744">
        <w:t xml:space="preserve">how Washington and Du Bois </w:t>
      </w:r>
      <w:r w:rsidR="005E7069">
        <w:t xml:space="preserve">develop </w:t>
      </w:r>
      <w:r w:rsidR="00197B59">
        <w:t>strong</w:t>
      </w:r>
      <w:r w:rsidR="005E7069">
        <w:t xml:space="preserve"> </w:t>
      </w:r>
      <w:r w:rsidR="00EC218C">
        <w:t xml:space="preserve">arguments. </w:t>
      </w:r>
    </w:p>
    <w:p w14:paraId="5887CA76" w14:textId="40A4ACD8" w:rsidR="00241836" w:rsidRDefault="00004075" w:rsidP="00C7161C">
      <w:pPr>
        <w:spacing w:after="200"/>
      </w:pPr>
      <w:r>
        <w:t>In Unit 11.</w:t>
      </w:r>
      <w:r w:rsidR="0091483A">
        <w:t>2</w:t>
      </w:r>
      <w:r w:rsidR="005D7B93" w:rsidRPr="002E6E78">
        <w:t xml:space="preserve">.2, </w:t>
      </w:r>
      <w:r w:rsidR="00531FF8">
        <w:t>students</w:t>
      </w:r>
      <w:r w:rsidR="00391664">
        <w:t xml:space="preserve"> broaden their</w:t>
      </w:r>
      <w:r w:rsidR="00876DB7">
        <w:t xml:space="preserve"> </w:t>
      </w:r>
      <w:r w:rsidR="00391664">
        <w:t>exploration of</w:t>
      </w:r>
      <w:r w:rsidR="00862DEB">
        <w:t xml:space="preserve"> struggles against</w:t>
      </w:r>
      <w:r w:rsidR="00391664">
        <w:t xml:space="preserve"> oppression in America </w:t>
      </w:r>
      <w:r w:rsidR="00862DEB">
        <w:t xml:space="preserve">to include issues </w:t>
      </w:r>
      <w:r w:rsidR="00167FC8">
        <w:t>of</w:t>
      </w:r>
      <w:r w:rsidR="001D30EE">
        <w:t xml:space="preserve"> gender and sexism. </w:t>
      </w:r>
      <w:r w:rsidR="00876DB7">
        <w:t>Students</w:t>
      </w:r>
      <w:r w:rsidR="00531FF8">
        <w:t xml:space="preserve"> read</w:t>
      </w:r>
      <w:r>
        <w:t xml:space="preserve"> and analyze</w:t>
      </w:r>
      <w:r w:rsidR="00531FF8">
        <w:t xml:space="preserve"> </w:t>
      </w:r>
      <w:r w:rsidR="00E964D9">
        <w:t>“An Address by Elizabeth Cady Stanton,” a foundational speech</w:t>
      </w:r>
      <w:r w:rsidR="001D30EE">
        <w:t xml:space="preserve"> in the w</w:t>
      </w:r>
      <w:r w:rsidR="00553517">
        <w:t>omen’s rights movement</w:t>
      </w:r>
      <w:r w:rsidR="00862DEB">
        <w:t>, in which Cady Stanton argues for women’s right to vote</w:t>
      </w:r>
      <w:r w:rsidR="00E964D9">
        <w:t>.</w:t>
      </w:r>
      <w:r w:rsidR="00876DB7">
        <w:t xml:space="preserve"> Student</w:t>
      </w:r>
      <w:r w:rsidR="007D06B4">
        <w:t xml:space="preserve"> analysis focuses on determining Cady Stanton’s point of view and</w:t>
      </w:r>
      <w:r w:rsidR="00BA2CB3">
        <w:t xml:space="preserve"> purpose</w:t>
      </w:r>
      <w:r w:rsidR="007D06B4">
        <w:t>,</w:t>
      </w:r>
      <w:r w:rsidR="00BA2CB3">
        <w:t xml:space="preserve"> and analy</w:t>
      </w:r>
      <w:r w:rsidR="007D06B4">
        <w:t xml:space="preserve">zing </w:t>
      </w:r>
      <w:r w:rsidR="00BA2CB3">
        <w:t xml:space="preserve">how </w:t>
      </w:r>
      <w:r w:rsidR="007D06B4">
        <w:t xml:space="preserve">her </w:t>
      </w:r>
      <w:r w:rsidR="00BA2CB3">
        <w:t>style and c</w:t>
      </w:r>
      <w:r w:rsidR="00876DB7">
        <w:t xml:space="preserve">ontent contribute to the power and persuasiveness of </w:t>
      </w:r>
      <w:r w:rsidR="00BA2CB3">
        <w:t>the text</w:t>
      </w:r>
      <w:r w:rsidR="00E964D9">
        <w:t xml:space="preserve">. </w:t>
      </w:r>
      <w:r w:rsidR="00876DB7">
        <w:t>S</w:t>
      </w:r>
      <w:r w:rsidR="00241836">
        <w:t>tudents</w:t>
      </w:r>
      <w:r w:rsidR="00876DB7">
        <w:t xml:space="preserve"> </w:t>
      </w:r>
      <w:r w:rsidR="00BA5543">
        <w:t xml:space="preserve">conclude this </w:t>
      </w:r>
      <w:r w:rsidR="001D30EE">
        <w:t>module with an analysis</w:t>
      </w:r>
      <w:r w:rsidR="00391664">
        <w:t xml:space="preserve"> </w:t>
      </w:r>
      <w:r w:rsidR="001D30EE">
        <w:t xml:space="preserve">of the role </w:t>
      </w:r>
      <w:r w:rsidR="00565813">
        <w:t xml:space="preserve">of </w:t>
      </w:r>
      <w:r w:rsidR="001D30EE">
        <w:t xml:space="preserve">imagery and figurative language in </w:t>
      </w:r>
      <w:r w:rsidR="00241836">
        <w:t xml:space="preserve">Audre Lorde’s contemporary poem, </w:t>
      </w:r>
      <w:r w:rsidR="00241836" w:rsidRPr="0031408E">
        <w:t>“From the House of Yemanj</w:t>
      </w:r>
      <w:r w:rsidR="00565813">
        <w:rPr>
          <w:color w:val="000000"/>
        </w:rPr>
        <w:t>á</w:t>
      </w:r>
      <w:r w:rsidR="00876DB7">
        <w:t>.</w:t>
      </w:r>
      <w:r w:rsidR="00241836" w:rsidRPr="0031408E">
        <w:t>”</w:t>
      </w:r>
      <w:r w:rsidR="0055381B">
        <w:t xml:space="preserve"> </w:t>
      </w:r>
      <w:r w:rsidR="00876DB7">
        <w:t>Although</w:t>
      </w:r>
      <w:r w:rsidR="001D30EE">
        <w:t xml:space="preserve"> a</w:t>
      </w:r>
      <w:r w:rsidR="00876DB7">
        <w:t xml:space="preserve"> </w:t>
      </w:r>
      <w:r w:rsidR="001D30EE">
        <w:t xml:space="preserve">departure in </w:t>
      </w:r>
      <w:r w:rsidR="00862DEB">
        <w:t>form from the other</w:t>
      </w:r>
      <w:r w:rsidR="006C1F12">
        <w:t xml:space="preserve"> module</w:t>
      </w:r>
      <w:r w:rsidR="00473161">
        <w:t xml:space="preserve"> texts</w:t>
      </w:r>
      <w:r w:rsidR="00876DB7">
        <w:t xml:space="preserve">, </w:t>
      </w:r>
      <w:r w:rsidR="00862DEB">
        <w:t>Lorde’s</w:t>
      </w:r>
      <w:r w:rsidR="001D30EE">
        <w:t xml:space="preserve"> exploration of </w:t>
      </w:r>
      <w:r w:rsidR="006C1F12">
        <w:t xml:space="preserve">how </w:t>
      </w:r>
      <w:r w:rsidR="00862DEB">
        <w:t xml:space="preserve">a daughter’s identity is influenced by her complex relationship with her mother </w:t>
      </w:r>
      <w:r w:rsidR="001D30EE">
        <w:t>forms an</w:t>
      </w:r>
      <w:r w:rsidR="00391664">
        <w:t xml:space="preserve"> intersection between</w:t>
      </w:r>
      <w:r w:rsidR="00473161">
        <w:t xml:space="preserve"> the complex dynamics of</w:t>
      </w:r>
      <w:r w:rsidR="00391664">
        <w:t xml:space="preserve"> </w:t>
      </w:r>
      <w:r w:rsidR="00862DEB">
        <w:t>race</w:t>
      </w:r>
      <w:r w:rsidR="00596F95">
        <w:t xml:space="preserve"> and</w:t>
      </w:r>
      <w:r w:rsidR="00862DEB">
        <w:t xml:space="preserve"> </w:t>
      </w:r>
      <w:r w:rsidR="001D30EE">
        <w:t xml:space="preserve">gender </w:t>
      </w:r>
      <w:r w:rsidR="00473161">
        <w:t>that pervade the</w:t>
      </w:r>
      <w:r w:rsidR="006C1F12">
        <w:t xml:space="preserve"> </w:t>
      </w:r>
      <w:r w:rsidR="00596F95">
        <w:t>nuanced arguments</w:t>
      </w:r>
      <w:r w:rsidR="006C1F12">
        <w:t xml:space="preserve"> </w:t>
      </w:r>
      <w:r w:rsidR="00473161">
        <w:t>in</w:t>
      </w:r>
      <w:r w:rsidR="00BA5543">
        <w:t xml:space="preserve"> this module. </w:t>
      </w:r>
    </w:p>
    <w:p w14:paraId="0DECF89A" w14:textId="5158C8C7" w:rsidR="008878B1" w:rsidRDefault="00553517" w:rsidP="00C7161C">
      <w:pPr>
        <w:spacing w:after="200"/>
      </w:pPr>
      <w:r>
        <w:t>In the End-of-Unit A</w:t>
      </w:r>
      <w:r w:rsidR="00241836">
        <w:t>ssessment</w:t>
      </w:r>
      <w:r w:rsidR="00EE42EC">
        <w:t xml:space="preserve"> for 11.2</w:t>
      </w:r>
      <w:r w:rsidR="00C570C9">
        <w:t>.</w:t>
      </w:r>
      <w:r w:rsidR="00EE42EC">
        <w:t>2</w:t>
      </w:r>
      <w:r w:rsidR="00241836">
        <w:t>, students ar</w:t>
      </w:r>
      <w:r w:rsidR="00E964D9">
        <w:t>e given the opportunity to p</w:t>
      </w:r>
      <w:r>
        <w:t>lace</w:t>
      </w:r>
      <w:r w:rsidR="00E964D9">
        <w:t xml:space="preserve"> </w:t>
      </w:r>
      <w:r w:rsidR="00C570C9">
        <w:t>the</w:t>
      </w:r>
      <w:r w:rsidR="00E964D9">
        <w:t xml:space="preserve"> module texts in</w:t>
      </w:r>
      <w:r w:rsidR="00241836">
        <w:t xml:space="preserve"> conversation with each other</w:t>
      </w:r>
      <w:r w:rsidR="00E964D9">
        <w:t xml:space="preserve">, as they </w:t>
      </w:r>
      <w:r w:rsidR="00241836" w:rsidRPr="003C62F8">
        <w:t xml:space="preserve">compare the approaches </w:t>
      </w:r>
      <w:r w:rsidR="00C570C9">
        <w:t xml:space="preserve">of </w:t>
      </w:r>
      <w:r w:rsidR="00241836">
        <w:t>two a</w:t>
      </w:r>
      <w:r w:rsidR="00241836" w:rsidRPr="003C62F8">
        <w:t>uthors</w:t>
      </w:r>
      <w:r w:rsidR="00241836">
        <w:t xml:space="preserve"> of their ch</w:t>
      </w:r>
      <w:r>
        <w:t>oosing</w:t>
      </w:r>
      <w:r w:rsidR="00241836" w:rsidRPr="003C62F8">
        <w:t xml:space="preserve"> in developing a similar or related central ide</w:t>
      </w:r>
      <w:r w:rsidR="00241836">
        <w:rPr>
          <w:color w:val="000000"/>
          <w:shd w:val="clear" w:color="auto" w:fill="FFFFFF"/>
        </w:rPr>
        <w:t>a</w:t>
      </w:r>
      <w:r w:rsidR="00D8640A">
        <w:rPr>
          <w:color w:val="000000"/>
          <w:shd w:val="clear" w:color="auto" w:fill="FFFFFF"/>
        </w:rPr>
        <w:t>.</w:t>
      </w:r>
      <w:r w:rsidR="00241836" w:rsidDel="00241836">
        <w:t xml:space="preserve"> </w:t>
      </w:r>
      <w:r w:rsidR="00F44671">
        <w:t>The</w:t>
      </w:r>
      <w:r w:rsidR="008878B1">
        <w:t xml:space="preserve"> assessments throughout this module </w:t>
      </w:r>
      <w:r w:rsidR="00C15123">
        <w:t>scaffold to</w:t>
      </w:r>
      <w:r w:rsidR="008878B1">
        <w:t xml:space="preserve"> the Module Performance Assessment, in which students</w:t>
      </w:r>
      <w:r w:rsidR="0070579A">
        <w:t xml:space="preserve"> develop and present a claim about how a new text, Sherman Alexie’s poem “How to Write the Great American Indian Novel,” relates to at least two of the texts they have analyzed in this module.</w:t>
      </w:r>
    </w:p>
    <w:p w14:paraId="2EB93BD5" w14:textId="77777777" w:rsidR="008878B1" w:rsidRPr="002E6E78" w:rsidRDefault="008878B1" w:rsidP="008878B1">
      <w:pPr>
        <w:pStyle w:val="Heading1"/>
        <w:rPr>
          <w:rFonts w:ascii="Calibri" w:hAnsi="Calibri"/>
        </w:rPr>
      </w:pPr>
      <w:r w:rsidRPr="002E6E78">
        <w:rPr>
          <w:rFonts w:ascii="Calibri" w:hAnsi="Calibri"/>
        </w:rPr>
        <w:t>Literacy Skills &amp; Habits</w:t>
      </w:r>
    </w:p>
    <w:tbl>
      <w:tblPr>
        <w:tblW w:w="9360" w:type="dxa"/>
        <w:tblInd w:w="108" w:type="dxa"/>
        <w:tblLook w:val="00A0" w:firstRow="1" w:lastRow="0" w:firstColumn="1" w:lastColumn="0" w:noHBand="0" w:noVBand="0"/>
      </w:tblPr>
      <w:tblGrid>
        <w:gridCol w:w="9360"/>
      </w:tblGrid>
      <w:tr w:rsidR="008878B1" w:rsidRPr="002E6E78" w14:paraId="6F85F466" w14:textId="77777777" w:rsidTr="00EE42EC">
        <w:trPr>
          <w:trHeight w:val="710"/>
        </w:trPr>
        <w:tc>
          <w:tcPr>
            <w:tcW w:w="9360" w:type="dxa"/>
          </w:tcPr>
          <w:p w14:paraId="6958273C" w14:textId="77777777" w:rsidR="003B6864" w:rsidRPr="003539A7" w:rsidRDefault="003B6864" w:rsidP="00446F7A">
            <w:pPr>
              <w:pStyle w:val="BulletedList"/>
            </w:pPr>
            <w:r w:rsidRPr="003539A7">
              <w:t>Read closely for textual details</w:t>
            </w:r>
          </w:p>
          <w:p w14:paraId="75E6063B" w14:textId="77777777" w:rsidR="003B6864" w:rsidRDefault="003B6864" w:rsidP="00446F7A">
            <w:pPr>
              <w:pStyle w:val="BulletedList"/>
            </w:pPr>
            <w:r w:rsidRPr="003539A7">
              <w:t>Annotate texts to support comprehension and analysis</w:t>
            </w:r>
          </w:p>
          <w:p w14:paraId="1489F2AF" w14:textId="77777777" w:rsidR="003B6864" w:rsidRPr="003539A7" w:rsidRDefault="003B6864" w:rsidP="00446F7A">
            <w:pPr>
              <w:pStyle w:val="BulletedList"/>
            </w:pPr>
            <w:r>
              <w:t>Delineate evidence and reasoning in an argument</w:t>
            </w:r>
          </w:p>
          <w:p w14:paraId="0B2FD0C2" w14:textId="51FF8F63" w:rsidR="003B6864" w:rsidRDefault="003B6864" w:rsidP="00446F7A">
            <w:pPr>
              <w:pStyle w:val="BulletedList"/>
            </w:pPr>
            <w:r w:rsidRPr="003539A7">
              <w:t>Engage in productive evidence-base</w:t>
            </w:r>
            <w:r>
              <w:t>d discussions about text</w:t>
            </w:r>
          </w:p>
          <w:p w14:paraId="44686A42" w14:textId="7947B1B4" w:rsidR="003B6864" w:rsidRDefault="003B6864" w:rsidP="00446F7A">
            <w:pPr>
              <w:pStyle w:val="BulletedList"/>
            </w:pPr>
            <w:r w:rsidRPr="003539A7">
              <w:t>Determine meaning of unknown vocabulary</w:t>
            </w:r>
            <w:r>
              <w:t xml:space="preserve"> from context</w:t>
            </w:r>
          </w:p>
          <w:p w14:paraId="74C14043" w14:textId="77777777" w:rsidR="003B6864" w:rsidRPr="003539A7" w:rsidRDefault="003B6864" w:rsidP="00446F7A">
            <w:pPr>
              <w:pStyle w:val="BulletedList"/>
            </w:pPr>
            <w:r>
              <w:t>Independently preview text in preparation for supported analysis</w:t>
            </w:r>
          </w:p>
          <w:p w14:paraId="34CB45D3" w14:textId="77777777" w:rsidR="003B6864" w:rsidRDefault="003B6864" w:rsidP="00446F7A">
            <w:pPr>
              <w:pStyle w:val="BulletedList"/>
            </w:pPr>
            <w:r w:rsidRPr="003539A7">
              <w:t>Paraphrase and quote relevant evidence from a text</w:t>
            </w:r>
          </w:p>
          <w:p w14:paraId="75427050" w14:textId="77777777" w:rsidR="003B6864" w:rsidRDefault="003B6864" w:rsidP="00446F7A">
            <w:pPr>
              <w:pStyle w:val="BulletedList"/>
            </w:pPr>
            <w:r>
              <w:t>Practice key informative/explanatory writing skills</w:t>
            </w:r>
          </w:p>
          <w:p w14:paraId="1CA771A1" w14:textId="2076A476" w:rsidR="003B6864" w:rsidRPr="003539A7" w:rsidRDefault="003B6864" w:rsidP="00446F7A">
            <w:pPr>
              <w:pStyle w:val="BulletedList"/>
            </w:pPr>
            <w:r w:rsidRPr="00677A89">
              <w:t>Collect and organize evidence from texts to support analysis in writing</w:t>
            </w:r>
          </w:p>
          <w:p w14:paraId="10DBA3E7" w14:textId="77777777" w:rsidR="003B6864" w:rsidRDefault="003B6864" w:rsidP="00446F7A">
            <w:pPr>
              <w:pStyle w:val="BulletedList"/>
            </w:pPr>
            <w:r>
              <w:t>Track rhetoric and how it advances the author’s purpose or point of view in the text</w:t>
            </w:r>
          </w:p>
          <w:p w14:paraId="1168B3AC" w14:textId="410BB5BC" w:rsidR="003B6864" w:rsidRDefault="003B6864" w:rsidP="00446F7A">
            <w:pPr>
              <w:pStyle w:val="BulletedList"/>
            </w:pPr>
            <w:r>
              <w:t>Track ideas and their refinement or development over the course of the text</w:t>
            </w:r>
          </w:p>
          <w:p w14:paraId="23437FAE" w14:textId="128B2EB6" w:rsidR="007C7750" w:rsidRDefault="007C7750" w:rsidP="00446F7A">
            <w:pPr>
              <w:pStyle w:val="BulletedList"/>
            </w:pPr>
            <w:r>
              <w:lastRenderedPageBreak/>
              <w:t>Generate and respond to questions in scholarly discourse</w:t>
            </w:r>
          </w:p>
        </w:tc>
      </w:tr>
    </w:tbl>
    <w:p w14:paraId="2C1C0602" w14:textId="4F1C7617" w:rsidR="00DB0103" w:rsidRPr="005D7B93" w:rsidRDefault="00EE42EC" w:rsidP="00EE42EC">
      <w:pPr>
        <w:pStyle w:val="Heading1"/>
        <w:spacing w:before="240"/>
      </w:pPr>
      <w:r>
        <w:lastRenderedPageBreak/>
        <w:t>E</w:t>
      </w:r>
      <w:r w:rsidR="00DB0103" w:rsidRPr="005D7B93">
        <w:t>nglish Language Arts Outcomes</w:t>
      </w:r>
    </w:p>
    <w:p w14:paraId="4A1F43EE" w14:textId="77777777" w:rsidR="00DB0103" w:rsidRPr="00F4200F" w:rsidRDefault="00DB0103" w:rsidP="00CE416E">
      <w:pPr>
        <w:pStyle w:val="Heading2"/>
        <w:rPr>
          <w:rFonts w:asciiTheme="minorHAnsi" w:hAnsiTheme="minorHAnsi"/>
        </w:rPr>
      </w:pPr>
      <w:r w:rsidRPr="00F4200F">
        <w:rPr>
          <w:rFonts w:asciiTheme="minorHAnsi" w:hAnsiTheme="minorHAnsi"/>
        </w:rPr>
        <w:t>Yearlong Target Standards</w:t>
      </w:r>
    </w:p>
    <w:p w14:paraId="2C7DED0F" w14:textId="77777777" w:rsidR="00DB0103" w:rsidRPr="002E6E78" w:rsidRDefault="00DB0103" w:rsidP="00B52DE7">
      <w:r w:rsidRPr="002E6E78">
        <w:t xml:space="preserve">These standards embody the pedagogical shifts required by the Common Core </w:t>
      </w:r>
      <w:r w:rsidR="004C0635">
        <w:t xml:space="preserve">State </w:t>
      </w:r>
      <w:r w:rsidRPr="002E6E78">
        <w:t>Standards and will be a strong focus in every E</w:t>
      </w:r>
      <w:r w:rsidR="004C0635">
        <w:t xml:space="preserve">nglish </w:t>
      </w:r>
      <w:r w:rsidRPr="002E6E78">
        <w:t>L</w:t>
      </w:r>
      <w:r w:rsidR="004C0635">
        <w:t xml:space="preserve">anguage </w:t>
      </w:r>
      <w:r w:rsidRPr="002E6E78">
        <w:t>A</w:t>
      </w:r>
      <w:r w:rsidR="004C0635">
        <w:t>rts</w:t>
      </w:r>
      <w:r w:rsidRPr="002E6E78">
        <w:t xml:space="preserve"> module and unit in grades 9–12.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7929"/>
      </w:tblGrid>
      <w:tr w:rsidR="00DB0103" w:rsidRPr="002E6E78" w14:paraId="66309D6B" w14:textId="77777777" w:rsidTr="00F4200F">
        <w:tc>
          <w:tcPr>
            <w:tcW w:w="9293" w:type="dxa"/>
            <w:gridSpan w:val="2"/>
            <w:shd w:val="clear" w:color="auto" w:fill="1F497D" w:themeFill="text2"/>
          </w:tcPr>
          <w:p w14:paraId="75FC2BFE" w14:textId="77777777" w:rsidR="00DB0103" w:rsidRPr="002E6E78" w:rsidRDefault="00DB0103" w:rsidP="00455B4A">
            <w:pPr>
              <w:pStyle w:val="TableHeaders"/>
              <w:keepNext/>
            </w:pPr>
            <w:r w:rsidRPr="002E6E78">
              <w:t>CCS Standards: Reading—Literature</w:t>
            </w:r>
          </w:p>
        </w:tc>
      </w:tr>
      <w:tr w:rsidR="00DB0103" w:rsidRPr="002E6E78" w14:paraId="797B4C0B" w14:textId="77777777" w:rsidTr="00455B4A">
        <w:tc>
          <w:tcPr>
            <w:tcW w:w="1364" w:type="dxa"/>
          </w:tcPr>
          <w:p w14:paraId="7213EC4F" w14:textId="77777777" w:rsidR="00DB0103" w:rsidRPr="002E6E78" w:rsidRDefault="00DB0103" w:rsidP="00A134F2">
            <w:pPr>
              <w:pStyle w:val="TableText"/>
            </w:pPr>
            <w:r w:rsidRPr="002E6E78">
              <w:t>RL.11</w:t>
            </w:r>
            <w:r w:rsidR="00023BDF">
              <w:t>-</w:t>
            </w:r>
            <w:r w:rsidRPr="002E6E78">
              <w:t>12.1</w:t>
            </w:r>
          </w:p>
        </w:tc>
        <w:tc>
          <w:tcPr>
            <w:tcW w:w="7929" w:type="dxa"/>
          </w:tcPr>
          <w:p w14:paraId="015D75C2" w14:textId="77777777" w:rsidR="00DB0103" w:rsidRPr="00195F63" w:rsidRDefault="00DB0103" w:rsidP="00A134F2">
            <w:pPr>
              <w:pStyle w:val="TableText"/>
            </w:pPr>
            <w:r w:rsidRPr="00195F63">
              <w:t>Cite strong and thorough textual evidence to support analysis of what the text says explicitly as well as inferences drawn from the text, including determining where the text leaves matters uncertain.</w:t>
            </w:r>
          </w:p>
        </w:tc>
      </w:tr>
      <w:tr w:rsidR="00DB0103" w:rsidRPr="002E6E78" w14:paraId="5220383D" w14:textId="77777777" w:rsidTr="00455B4A">
        <w:tc>
          <w:tcPr>
            <w:tcW w:w="1364" w:type="dxa"/>
          </w:tcPr>
          <w:p w14:paraId="0A214786" w14:textId="77777777" w:rsidR="00DB0103" w:rsidRPr="002E6E78" w:rsidRDefault="00DB0103" w:rsidP="00A134F2">
            <w:pPr>
              <w:pStyle w:val="TableText"/>
            </w:pPr>
            <w:r w:rsidRPr="002E6E78">
              <w:t>RL.11</w:t>
            </w:r>
            <w:r w:rsidR="00023BDF">
              <w:t>-</w:t>
            </w:r>
            <w:r w:rsidRPr="002E6E78">
              <w:t>12.4</w:t>
            </w:r>
          </w:p>
        </w:tc>
        <w:tc>
          <w:tcPr>
            <w:tcW w:w="7929" w:type="dxa"/>
          </w:tcPr>
          <w:p w14:paraId="39C1928F" w14:textId="77777777" w:rsidR="00DB0103" w:rsidRPr="00C0799A" w:rsidRDefault="00DB0103" w:rsidP="00A134F2">
            <w:pPr>
              <w:pStyle w:val="TableText"/>
              <w:rPr>
                <w:spacing w:val="-4"/>
              </w:rPr>
            </w:pPr>
            <w:r w:rsidRPr="00C0799A">
              <w:rPr>
                <w:spacing w:val="-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DB0103" w:rsidRPr="002E6E78" w14:paraId="2D8BCF67" w14:textId="77777777" w:rsidTr="00455B4A">
        <w:tc>
          <w:tcPr>
            <w:tcW w:w="1364" w:type="dxa"/>
          </w:tcPr>
          <w:p w14:paraId="391A5028" w14:textId="77777777" w:rsidR="00DB0103" w:rsidRPr="002E6E78" w:rsidRDefault="00DB0103" w:rsidP="00A134F2">
            <w:pPr>
              <w:pStyle w:val="TableText"/>
            </w:pPr>
            <w:r w:rsidRPr="002E6E78">
              <w:t>RL.11</w:t>
            </w:r>
            <w:r w:rsidR="00023BDF">
              <w:t>-</w:t>
            </w:r>
            <w:r w:rsidRPr="002E6E78">
              <w:t>12.10</w:t>
            </w:r>
          </w:p>
        </w:tc>
        <w:tc>
          <w:tcPr>
            <w:tcW w:w="7929" w:type="dxa"/>
          </w:tcPr>
          <w:p w14:paraId="4181D9C2" w14:textId="77777777" w:rsidR="0036447D" w:rsidRDefault="00DB0103" w:rsidP="00A134F2">
            <w:pPr>
              <w:pStyle w:val="TableText"/>
            </w:pPr>
            <w:r w:rsidRPr="002E6E78">
              <w:rPr>
                <w:color w:val="000000"/>
              </w:rPr>
              <w:t xml:space="preserve">By the end of grade 11, </w:t>
            </w:r>
            <w:r w:rsidRPr="002E6E78">
              <w:t>read and comprehend literature, including stories, dramas, and poems, in the grades 11–CCR text complexity band proficiently, with scaffolding as needed at the high end of the range.</w:t>
            </w:r>
          </w:p>
        </w:tc>
      </w:tr>
      <w:tr w:rsidR="00DB0103" w:rsidRPr="002E6E78" w14:paraId="126CE5EB" w14:textId="77777777" w:rsidTr="00F4200F">
        <w:tc>
          <w:tcPr>
            <w:tcW w:w="9293" w:type="dxa"/>
            <w:gridSpan w:val="2"/>
            <w:shd w:val="clear" w:color="auto" w:fill="1F497D" w:themeFill="text2"/>
          </w:tcPr>
          <w:p w14:paraId="67A079C8" w14:textId="77777777" w:rsidR="00DB0103" w:rsidRPr="002E6E78" w:rsidRDefault="00DB0103" w:rsidP="00A134F2">
            <w:pPr>
              <w:pStyle w:val="TableHeaders"/>
            </w:pPr>
            <w:r w:rsidRPr="002E6E78">
              <w:t>CCS Standards: Reading—Informational Text</w:t>
            </w:r>
          </w:p>
        </w:tc>
      </w:tr>
      <w:tr w:rsidR="00DB0103" w:rsidRPr="00A134F2" w14:paraId="09DFB611" w14:textId="77777777" w:rsidTr="00455B4A">
        <w:tc>
          <w:tcPr>
            <w:tcW w:w="1364" w:type="dxa"/>
          </w:tcPr>
          <w:p w14:paraId="76BD304D" w14:textId="77777777" w:rsidR="00DB0103" w:rsidRPr="00A134F2" w:rsidRDefault="00DB0103" w:rsidP="00A134F2">
            <w:pPr>
              <w:pStyle w:val="TableText"/>
            </w:pPr>
            <w:r w:rsidRPr="00A134F2">
              <w:t>RI.11</w:t>
            </w:r>
            <w:r w:rsidR="009A4834" w:rsidRPr="00A134F2">
              <w:t>-</w:t>
            </w:r>
            <w:r w:rsidRPr="00A134F2">
              <w:t>12.1</w:t>
            </w:r>
            <w:r w:rsidR="007B1EE3" w:rsidRPr="00A134F2">
              <w:t>.a</w:t>
            </w:r>
          </w:p>
        </w:tc>
        <w:tc>
          <w:tcPr>
            <w:tcW w:w="7929" w:type="dxa"/>
          </w:tcPr>
          <w:p w14:paraId="52F2E232" w14:textId="77777777" w:rsidR="007D26FE" w:rsidRPr="00A134F2" w:rsidRDefault="00DB0103" w:rsidP="00A134F2">
            <w:pPr>
              <w:pStyle w:val="TableText"/>
            </w:pPr>
            <w:r w:rsidRPr="00A134F2">
              <w:t xml:space="preserve">Cite strong and thorough textual evidence to support analysis of what the text says explicitly as well as inferences drawn from the text, including determining where the text leaves matters uncertain. </w:t>
            </w:r>
          </w:p>
          <w:p w14:paraId="4ADC8B7A" w14:textId="77777777" w:rsidR="00DB0103" w:rsidRPr="00A134F2" w:rsidRDefault="007D26FE" w:rsidP="00452AF8">
            <w:pPr>
              <w:pStyle w:val="TableText"/>
              <w:numPr>
                <w:ilvl w:val="0"/>
                <w:numId w:val="11"/>
              </w:numPr>
              <w:ind w:left="360"/>
            </w:pPr>
            <w:r w:rsidRPr="00A134F2">
              <w:t>Develop factual, interpretive, and evaluative questions for further exploration of the topic(s).</w:t>
            </w:r>
          </w:p>
        </w:tc>
      </w:tr>
      <w:tr w:rsidR="00DB0103" w:rsidRPr="00A134F2" w14:paraId="1669D1FA" w14:textId="77777777" w:rsidTr="00455B4A">
        <w:tc>
          <w:tcPr>
            <w:tcW w:w="1364" w:type="dxa"/>
          </w:tcPr>
          <w:p w14:paraId="66586F7C" w14:textId="77777777" w:rsidR="00DB0103" w:rsidRPr="00A134F2" w:rsidRDefault="00DB0103" w:rsidP="00A134F2">
            <w:pPr>
              <w:pStyle w:val="TableText"/>
            </w:pPr>
            <w:r w:rsidRPr="00A134F2">
              <w:t>RI.11</w:t>
            </w:r>
            <w:r w:rsidR="009A4834" w:rsidRPr="00A134F2">
              <w:t>-</w:t>
            </w:r>
            <w:r w:rsidRPr="00A134F2">
              <w:t xml:space="preserve">12.4 </w:t>
            </w:r>
          </w:p>
        </w:tc>
        <w:tc>
          <w:tcPr>
            <w:tcW w:w="7929" w:type="dxa"/>
          </w:tcPr>
          <w:p w14:paraId="69B9C28F" w14:textId="77777777" w:rsidR="00DB0103" w:rsidRPr="00A134F2" w:rsidRDefault="00DB0103" w:rsidP="00A134F2">
            <w:pPr>
              <w:pStyle w:val="TableText"/>
            </w:pPr>
            <w:r w:rsidRPr="00A134F2">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4C0635">
              <w:rPr>
                <w:i/>
              </w:rPr>
              <w:t>faction</w:t>
            </w:r>
            <w:r w:rsidRPr="00A134F2">
              <w:t xml:space="preserve"> in</w:t>
            </w:r>
            <w:r w:rsidRPr="004C0635">
              <w:rPr>
                <w:i/>
              </w:rPr>
              <w:t xml:space="preserve"> Federalist</w:t>
            </w:r>
            <w:r w:rsidRPr="00A134F2">
              <w:t xml:space="preserve"> No. 10).</w:t>
            </w:r>
          </w:p>
        </w:tc>
      </w:tr>
      <w:tr w:rsidR="00DB0103" w:rsidRPr="00A134F2" w14:paraId="5F85806B" w14:textId="77777777" w:rsidTr="00455B4A">
        <w:tc>
          <w:tcPr>
            <w:tcW w:w="1364" w:type="dxa"/>
          </w:tcPr>
          <w:p w14:paraId="74A9181E" w14:textId="77777777" w:rsidR="00DB0103" w:rsidRPr="00A134F2" w:rsidRDefault="00DB0103" w:rsidP="00A134F2">
            <w:pPr>
              <w:pStyle w:val="TableText"/>
            </w:pPr>
            <w:r w:rsidRPr="00A134F2">
              <w:t>RI.11</w:t>
            </w:r>
            <w:r w:rsidR="0036447D" w:rsidRPr="00A134F2">
              <w:t>-</w:t>
            </w:r>
            <w:r w:rsidRPr="00A134F2">
              <w:t>12.10</w:t>
            </w:r>
          </w:p>
        </w:tc>
        <w:tc>
          <w:tcPr>
            <w:tcW w:w="7929" w:type="dxa"/>
          </w:tcPr>
          <w:p w14:paraId="160F2EDD" w14:textId="77777777" w:rsidR="00DB0103" w:rsidRPr="00A134F2" w:rsidRDefault="00DB0103" w:rsidP="00A134F2">
            <w:pPr>
              <w:pStyle w:val="TableText"/>
            </w:pPr>
            <w:r w:rsidRPr="00A134F2">
              <w:t>By the end of grade 11, read and comprehend literary nonfiction in the grades 11–CCR text complexity band proficiently, with scaffolding as needed at the high end of the range.</w:t>
            </w:r>
          </w:p>
        </w:tc>
      </w:tr>
      <w:tr w:rsidR="00070914" w:rsidRPr="002E6E78" w14:paraId="4D6F92B2" w14:textId="77777777" w:rsidTr="00F4200F">
        <w:trPr>
          <w:trHeight w:val="155"/>
        </w:trPr>
        <w:tc>
          <w:tcPr>
            <w:tcW w:w="9293" w:type="dxa"/>
            <w:gridSpan w:val="2"/>
            <w:shd w:val="clear" w:color="auto" w:fill="1F497D" w:themeFill="text2"/>
          </w:tcPr>
          <w:p w14:paraId="1F9C6230" w14:textId="77777777" w:rsidR="00070914" w:rsidRPr="002E6E78" w:rsidRDefault="00070914" w:rsidP="00A134F2">
            <w:pPr>
              <w:pStyle w:val="TableHeaders"/>
              <w:keepNext/>
            </w:pPr>
            <w:r w:rsidRPr="002E6E78">
              <w:lastRenderedPageBreak/>
              <w:t>CCS Standards: Writing</w:t>
            </w:r>
          </w:p>
        </w:tc>
      </w:tr>
      <w:tr w:rsidR="00070914" w:rsidRPr="002E6E78" w14:paraId="45494B03" w14:textId="77777777" w:rsidTr="00455B4A">
        <w:trPr>
          <w:trHeight w:val="1216"/>
        </w:trPr>
        <w:tc>
          <w:tcPr>
            <w:tcW w:w="1364" w:type="dxa"/>
          </w:tcPr>
          <w:p w14:paraId="4C5B868A" w14:textId="11EB2BC5" w:rsidR="00070914" w:rsidRPr="002E6E78" w:rsidRDefault="00070914" w:rsidP="004C0635">
            <w:pPr>
              <w:pStyle w:val="TableText"/>
            </w:pPr>
            <w:r w:rsidRPr="002E6E78">
              <w:t>W.11</w:t>
            </w:r>
            <w:r w:rsidR="0036447D">
              <w:t>-</w:t>
            </w:r>
            <w:r w:rsidRPr="002E6E78">
              <w:t>12.9</w:t>
            </w:r>
            <w:r w:rsidR="00565582">
              <w:t>.a</w:t>
            </w:r>
            <w:r w:rsidR="004C0635">
              <w:t>,</w:t>
            </w:r>
            <w:r w:rsidR="00EE42EC">
              <w:t xml:space="preserve"> </w:t>
            </w:r>
            <w:r w:rsidR="00565582">
              <w:t>b</w:t>
            </w:r>
          </w:p>
        </w:tc>
        <w:tc>
          <w:tcPr>
            <w:tcW w:w="7929" w:type="dxa"/>
          </w:tcPr>
          <w:p w14:paraId="6E4527BC" w14:textId="77777777" w:rsidR="00070914" w:rsidRPr="00195F63" w:rsidRDefault="00070914" w:rsidP="00A32203">
            <w:pPr>
              <w:pStyle w:val="TableText"/>
            </w:pPr>
            <w:r w:rsidRPr="00195F63">
              <w:t>Draw evidence from literary or informational texts to support analysis, reflection, and research.</w:t>
            </w:r>
          </w:p>
          <w:p w14:paraId="6E123BB3" w14:textId="77777777" w:rsidR="004C0635" w:rsidRPr="00FE0988" w:rsidRDefault="00070914" w:rsidP="00452AF8">
            <w:pPr>
              <w:pStyle w:val="ListParagraph"/>
              <w:numPr>
                <w:ilvl w:val="0"/>
                <w:numId w:val="12"/>
              </w:numPr>
              <w:autoSpaceDE w:val="0"/>
              <w:autoSpaceDN w:val="0"/>
              <w:adjustRightInd w:val="0"/>
              <w:spacing w:before="0" w:after="0"/>
              <w:ind w:left="360"/>
              <w:rPr>
                <w:rFonts w:asciiTheme="minorHAnsi" w:hAnsiTheme="minorHAnsi" w:cs="Perpetua"/>
                <w:color w:val="000000"/>
              </w:rPr>
            </w:pPr>
            <w:r w:rsidRPr="00195F63">
              <w:t xml:space="preserve">Apply </w:t>
            </w:r>
            <w:r w:rsidRPr="00FE0988">
              <w:rPr>
                <w:i/>
              </w:rPr>
              <w:t>grades 11–12 Reading standards</w:t>
            </w:r>
            <w:r w:rsidRPr="00195F63">
              <w:t xml:space="preserve"> to literature</w:t>
            </w:r>
            <w:r w:rsidR="004C0635">
              <w:t xml:space="preserve"> </w:t>
            </w:r>
            <w:r w:rsidR="004C0635" w:rsidRPr="00FE0988">
              <w:rPr>
                <w:rFonts w:asciiTheme="minorHAnsi" w:hAnsiTheme="minorHAnsi" w:cs="Perpetua"/>
                <w:color w:val="000000"/>
              </w:rPr>
              <w:t>(e.g., “Demonstrate knowledge of eighteenth-, nineteenth- and early-twentieth-century foundational works of American literature, including how two or more texts from the same period treat similar themes</w:t>
            </w:r>
            <w:r w:rsidR="00FE0988" w:rsidRPr="00FE0988">
              <w:rPr>
                <w:rFonts w:asciiTheme="minorHAnsi" w:hAnsiTheme="minorHAnsi" w:cs="Perpetua"/>
                <w:color w:val="000000"/>
              </w:rPr>
              <w:t xml:space="preserve"> </w:t>
            </w:r>
            <w:r w:rsidR="004C0635" w:rsidRPr="00FE0988">
              <w:rPr>
                <w:rFonts w:asciiTheme="minorHAnsi" w:hAnsiTheme="minorHAnsi" w:cs="Perpetua"/>
                <w:color w:val="000000"/>
              </w:rPr>
              <w:t>or topics”).</w:t>
            </w:r>
          </w:p>
          <w:p w14:paraId="4C892B27" w14:textId="77777777" w:rsidR="00070914" w:rsidRPr="00FE0988" w:rsidRDefault="004C0635" w:rsidP="00452AF8">
            <w:pPr>
              <w:pStyle w:val="ListParagraph"/>
              <w:numPr>
                <w:ilvl w:val="0"/>
                <w:numId w:val="12"/>
              </w:numPr>
              <w:autoSpaceDE w:val="0"/>
              <w:autoSpaceDN w:val="0"/>
              <w:adjustRightInd w:val="0"/>
              <w:spacing w:before="0" w:after="0"/>
              <w:ind w:left="360"/>
              <w:rPr>
                <w:rFonts w:asciiTheme="minorHAnsi" w:hAnsiTheme="minorHAnsi"/>
              </w:rPr>
            </w:pPr>
            <w:r w:rsidRPr="00FE0988">
              <w:rPr>
                <w:rFonts w:asciiTheme="minorHAnsi" w:hAnsiTheme="minorHAnsi" w:cs="Perpetua"/>
                <w:color w:val="000000"/>
              </w:rPr>
              <w:t xml:space="preserve">Apply </w:t>
            </w:r>
            <w:r w:rsidRPr="00FE0988">
              <w:rPr>
                <w:rFonts w:asciiTheme="minorHAnsi" w:hAnsiTheme="minorHAnsi" w:cs="Perpetua-Italic"/>
                <w:i/>
                <w:iCs/>
                <w:color w:val="000000"/>
              </w:rPr>
              <w:t xml:space="preserve">grades 11–12 Reading standards </w:t>
            </w:r>
            <w:r w:rsidRPr="00FE0988">
              <w:rPr>
                <w:rFonts w:asciiTheme="minorHAnsi" w:hAnsiTheme="minorHAnsi" w:cs="Perpetua"/>
                <w:color w:val="000000"/>
              </w:rPr>
              <w:t>to literary nonfiction (e.g., “Delineate and evaluate</w:t>
            </w:r>
            <w:r w:rsidR="00FE0988" w:rsidRPr="00FE0988">
              <w:rPr>
                <w:rFonts w:asciiTheme="minorHAnsi" w:hAnsiTheme="minorHAnsi" w:cs="Perpetua"/>
                <w:color w:val="000000"/>
              </w:rPr>
              <w:t xml:space="preserve"> </w:t>
            </w:r>
            <w:r w:rsidRPr="00FE0988">
              <w:rPr>
                <w:rFonts w:asciiTheme="minorHAnsi" w:hAnsiTheme="minorHAnsi" w:cs="Perpetua"/>
                <w:color w:val="000000"/>
              </w:rPr>
              <w:t>the reasoning in seminal U.S. texts, including the application of constitutional principles</w:t>
            </w:r>
            <w:r w:rsidR="00FE0988" w:rsidRPr="00FE0988">
              <w:rPr>
                <w:rFonts w:asciiTheme="minorHAnsi" w:hAnsiTheme="minorHAnsi" w:cs="Perpetua"/>
                <w:color w:val="000000"/>
              </w:rPr>
              <w:t xml:space="preserve"> </w:t>
            </w:r>
            <w:r w:rsidRPr="00FE0988">
              <w:rPr>
                <w:rFonts w:asciiTheme="minorHAnsi" w:hAnsiTheme="minorHAnsi" w:cs="Perpetua"/>
                <w:color w:val="000000"/>
              </w:rPr>
              <w:t>and use of legal reasoning [e.g., in U.S. Supreme Court Case majority opinions and</w:t>
            </w:r>
            <w:r w:rsidR="00FE0988" w:rsidRPr="00FE0988">
              <w:rPr>
                <w:rFonts w:asciiTheme="minorHAnsi" w:hAnsiTheme="minorHAnsi" w:cs="Perpetua"/>
                <w:color w:val="000000"/>
              </w:rPr>
              <w:t xml:space="preserve"> </w:t>
            </w:r>
            <w:r w:rsidRPr="00FE0988">
              <w:rPr>
                <w:rFonts w:asciiTheme="minorHAnsi" w:hAnsiTheme="minorHAnsi" w:cs="Perpetua"/>
                <w:color w:val="000000"/>
              </w:rPr>
              <w:t>dissents] and the premises, purposes, and arguments in works of public advocacy [e.g.,</w:t>
            </w:r>
            <w:r w:rsidR="00A56DD6">
              <w:rPr>
                <w:rFonts w:asciiTheme="minorHAnsi" w:hAnsiTheme="minorHAnsi" w:cs="Perpetua"/>
                <w:color w:val="000000"/>
              </w:rPr>
              <w:t xml:space="preserve"> </w:t>
            </w:r>
            <w:r w:rsidRPr="00FE0988">
              <w:rPr>
                <w:rFonts w:asciiTheme="minorHAnsi" w:hAnsiTheme="minorHAnsi" w:cs="Perpetua-Italic"/>
                <w:i/>
                <w:iCs/>
                <w:color w:val="000000"/>
              </w:rPr>
              <w:t>The Federalist</w:t>
            </w:r>
            <w:r w:rsidRPr="00FE0988">
              <w:rPr>
                <w:rFonts w:asciiTheme="minorHAnsi" w:hAnsiTheme="minorHAnsi" w:cs="Perpetua"/>
                <w:color w:val="000000"/>
              </w:rPr>
              <w:t>, presidential addresses]”).</w:t>
            </w:r>
          </w:p>
        </w:tc>
      </w:tr>
      <w:tr w:rsidR="00070914" w:rsidRPr="002E6E78" w14:paraId="4CB2506B" w14:textId="77777777" w:rsidTr="00455B4A">
        <w:trPr>
          <w:trHeight w:val="1051"/>
        </w:trPr>
        <w:tc>
          <w:tcPr>
            <w:tcW w:w="1364" w:type="dxa"/>
          </w:tcPr>
          <w:p w14:paraId="27CF95BF" w14:textId="77777777" w:rsidR="00070914" w:rsidRPr="002E6E78" w:rsidRDefault="00070914" w:rsidP="00A134F2">
            <w:pPr>
              <w:pStyle w:val="TableText"/>
            </w:pPr>
            <w:r w:rsidRPr="002E6E78">
              <w:t>W.11</w:t>
            </w:r>
            <w:r w:rsidR="007D26FE">
              <w:t>-</w:t>
            </w:r>
            <w:r w:rsidRPr="002E6E78">
              <w:t>12.10</w:t>
            </w:r>
          </w:p>
        </w:tc>
        <w:tc>
          <w:tcPr>
            <w:tcW w:w="7929" w:type="dxa"/>
          </w:tcPr>
          <w:p w14:paraId="61B08A30" w14:textId="77777777" w:rsidR="00070914" w:rsidRPr="002E6E78" w:rsidRDefault="00070914" w:rsidP="00A134F2">
            <w:pPr>
              <w:pStyle w:val="TableText"/>
            </w:pPr>
            <w:r w:rsidRPr="002E6E78">
              <w:t>Write routinely over extended time frames (time for research, reflection, and revision) and shorter time frames (a single sitting or a day or two) for a range of tasks, purposes, and audiences.</w:t>
            </w:r>
          </w:p>
        </w:tc>
      </w:tr>
      <w:tr w:rsidR="00070914" w:rsidRPr="002E6E78" w14:paraId="4B208357" w14:textId="77777777" w:rsidTr="00F4200F">
        <w:trPr>
          <w:trHeight w:val="315"/>
        </w:trPr>
        <w:tc>
          <w:tcPr>
            <w:tcW w:w="9293" w:type="dxa"/>
            <w:gridSpan w:val="2"/>
            <w:shd w:val="clear" w:color="auto" w:fill="1F497D" w:themeFill="text2"/>
          </w:tcPr>
          <w:p w14:paraId="6FC3F1CF" w14:textId="77777777" w:rsidR="00070914" w:rsidRPr="002E6E78" w:rsidRDefault="00070914" w:rsidP="00455B4A">
            <w:pPr>
              <w:pStyle w:val="TableHeaders"/>
              <w:keepNext/>
            </w:pPr>
            <w:r w:rsidRPr="002E6E78">
              <w:t>CCS Standards: Speaking &amp; Listening</w:t>
            </w:r>
          </w:p>
        </w:tc>
      </w:tr>
      <w:tr w:rsidR="00070914" w:rsidRPr="002E6E78" w14:paraId="04B76AA4" w14:textId="77777777" w:rsidTr="00455B4A">
        <w:trPr>
          <w:trHeight w:val="1051"/>
        </w:trPr>
        <w:tc>
          <w:tcPr>
            <w:tcW w:w="1364" w:type="dxa"/>
          </w:tcPr>
          <w:p w14:paraId="395B853C" w14:textId="77777777" w:rsidR="00070914" w:rsidRPr="002E6E78" w:rsidRDefault="00070914" w:rsidP="00A134F2">
            <w:pPr>
              <w:pStyle w:val="TableText"/>
            </w:pPr>
            <w:r w:rsidRPr="002E6E78">
              <w:t>SL.11</w:t>
            </w:r>
            <w:r w:rsidR="007D26FE">
              <w:t>-</w:t>
            </w:r>
            <w:r w:rsidRPr="002E6E78">
              <w:t>12.1</w:t>
            </w:r>
          </w:p>
        </w:tc>
        <w:tc>
          <w:tcPr>
            <w:tcW w:w="7929" w:type="dxa"/>
          </w:tcPr>
          <w:p w14:paraId="07132677" w14:textId="77777777" w:rsidR="00070914" w:rsidRPr="002E6E78" w:rsidRDefault="00070914" w:rsidP="00A134F2">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070914" w:rsidRPr="002E6E78" w14:paraId="340048E8" w14:textId="77777777" w:rsidTr="00F4200F">
        <w:trPr>
          <w:trHeight w:val="301"/>
        </w:trPr>
        <w:tc>
          <w:tcPr>
            <w:tcW w:w="9293" w:type="dxa"/>
            <w:gridSpan w:val="2"/>
            <w:shd w:val="clear" w:color="auto" w:fill="1F497D" w:themeFill="text2"/>
          </w:tcPr>
          <w:p w14:paraId="0B82CD07" w14:textId="77777777" w:rsidR="00070914" w:rsidRPr="002E6E78" w:rsidRDefault="00070914" w:rsidP="00A134F2">
            <w:pPr>
              <w:pStyle w:val="TableHeaders"/>
            </w:pPr>
            <w:r w:rsidRPr="002E6E78">
              <w:t>CCS Standards: Language</w:t>
            </w:r>
          </w:p>
        </w:tc>
      </w:tr>
      <w:tr w:rsidR="00070914" w:rsidRPr="002E6E78" w14:paraId="164F0368" w14:textId="77777777" w:rsidTr="00455B4A">
        <w:trPr>
          <w:trHeight w:val="1652"/>
        </w:trPr>
        <w:tc>
          <w:tcPr>
            <w:tcW w:w="1364" w:type="dxa"/>
          </w:tcPr>
          <w:p w14:paraId="09F9AB13" w14:textId="77777777" w:rsidR="00070914" w:rsidRPr="002E6E78" w:rsidRDefault="00070914" w:rsidP="00A134F2">
            <w:pPr>
              <w:pStyle w:val="TableText"/>
            </w:pPr>
            <w:r w:rsidRPr="002E6E78">
              <w:t>L.11</w:t>
            </w:r>
            <w:r w:rsidR="007B1EE3">
              <w:t>-</w:t>
            </w:r>
            <w:r w:rsidRPr="002E6E78">
              <w:t>12.4</w:t>
            </w:r>
            <w:r w:rsidR="00FE0988">
              <w:t>.a-d</w:t>
            </w:r>
          </w:p>
        </w:tc>
        <w:tc>
          <w:tcPr>
            <w:tcW w:w="7929" w:type="dxa"/>
          </w:tcPr>
          <w:p w14:paraId="4A24B39F" w14:textId="77777777" w:rsidR="00070914" w:rsidRPr="00C0799A" w:rsidRDefault="00070914" w:rsidP="00A134F2">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7D0BABAE" w14:textId="77777777" w:rsidR="000E14B6" w:rsidRPr="000E14B6" w:rsidRDefault="000E14B6" w:rsidP="00452AF8">
            <w:pPr>
              <w:pStyle w:val="TableText"/>
              <w:numPr>
                <w:ilvl w:val="0"/>
                <w:numId w:val="13"/>
              </w:numPr>
              <w:ind w:left="360"/>
            </w:pPr>
            <w:r w:rsidRPr="000E14B6">
              <w:t>Use context (e.g., the overall meaning of a sentence, paragraph, or text; a word’s position or function in a sentence) as a clue to the meaning of a word or phrase.</w:t>
            </w:r>
          </w:p>
          <w:p w14:paraId="43C63902" w14:textId="77777777" w:rsidR="000E14B6" w:rsidRPr="000E14B6" w:rsidRDefault="000E14B6" w:rsidP="00452AF8">
            <w:pPr>
              <w:pStyle w:val="TableText"/>
              <w:numPr>
                <w:ilvl w:val="0"/>
                <w:numId w:val="13"/>
              </w:numPr>
              <w:ind w:left="360"/>
            </w:pPr>
            <w:r w:rsidRPr="000E14B6">
              <w:t xml:space="preserve">Identify and correctly use patterns of word changes that indicate different meanings or parts of speech (e.g., </w:t>
            </w:r>
            <w:r w:rsidRPr="00FE0988">
              <w:rPr>
                <w:i/>
              </w:rPr>
              <w:t>conceive, conception, conceivable</w:t>
            </w:r>
            <w:r w:rsidRPr="000E14B6">
              <w:t>).</w:t>
            </w:r>
          </w:p>
          <w:p w14:paraId="2685D2E0" w14:textId="77777777" w:rsidR="000E14B6" w:rsidRPr="000E14B6" w:rsidRDefault="000E14B6" w:rsidP="00452AF8">
            <w:pPr>
              <w:pStyle w:val="TableText"/>
              <w:numPr>
                <w:ilvl w:val="0"/>
                <w:numId w:val="13"/>
              </w:numPr>
              <w:ind w:left="360"/>
            </w:pPr>
            <w:r w:rsidRPr="000E14B6">
              <w:t>Consult general and specialized reference materials (e.g., dictionaries, glossaries, thesauruses), both print and digital, to find the pronunciation of a word or determine or clarify its precise meaning, its part of speech, its etymology, or its standard usage.</w:t>
            </w:r>
          </w:p>
          <w:p w14:paraId="76F7AA59" w14:textId="77777777" w:rsidR="00A2080C" w:rsidRPr="000E14B6" w:rsidRDefault="000E14B6" w:rsidP="00452AF8">
            <w:pPr>
              <w:pStyle w:val="TableText"/>
              <w:numPr>
                <w:ilvl w:val="0"/>
                <w:numId w:val="13"/>
              </w:numPr>
              <w:ind w:left="360"/>
            </w:pPr>
            <w:r w:rsidRPr="000E14B6">
              <w:t>Verify the preliminary determination of the meaning of a word or phrase (e.g., by checking the inferred meaning in context or in a dictionary).</w:t>
            </w:r>
          </w:p>
        </w:tc>
      </w:tr>
    </w:tbl>
    <w:p w14:paraId="704275FC" w14:textId="77777777" w:rsidR="00DB0103" w:rsidRPr="00F4200F" w:rsidRDefault="00DB0103" w:rsidP="00C0799A">
      <w:pPr>
        <w:pStyle w:val="Heading2"/>
        <w:rPr>
          <w:rFonts w:asciiTheme="minorHAnsi" w:hAnsiTheme="minorHAnsi"/>
        </w:rPr>
      </w:pPr>
      <w:r w:rsidRPr="00F4200F">
        <w:rPr>
          <w:rFonts w:asciiTheme="minorHAnsi" w:hAnsiTheme="minorHAnsi"/>
        </w:rPr>
        <w:lastRenderedPageBreak/>
        <w:t>Module-Specific Assessed Standards</w:t>
      </w:r>
    </w:p>
    <w:p w14:paraId="40B53025" w14:textId="77777777" w:rsidR="00DB0103" w:rsidRPr="002E6E78" w:rsidRDefault="00DB0103" w:rsidP="00B52DE7">
      <w:r w:rsidRPr="002E6E78">
        <w:t>These standards will be the specific focus of instruction and assessment, based on the texts studied and proficiencies developed in this module.</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0"/>
        <w:gridCol w:w="7910"/>
      </w:tblGrid>
      <w:tr w:rsidR="00DB0103" w:rsidRPr="002E6E78" w14:paraId="0D8587B2" w14:textId="77777777" w:rsidTr="00455B4A">
        <w:tc>
          <w:tcPr>
            <w:tcW w:w="9350" w:type="dxa"/>
            <w:gridSpan w:val="2"/>
            <w:shd w:val="clear" w:color="auto" w:fill="365F91"/>
          </w:tcPr>
          <w:p w14:paraId="0204CEFE" w14:textId="77777777" w:rsidR="00DB0103" w:rsidRPr="002E6E78" w:rsidRDefault="0055161C" w:rsidP="00A134F2">
            <w:pPr>
              <w:pStyle w:val="TableHeaders"/>
            </w:pPr>
            <w:r w:rsidRPr="002E6E78">
              <w:t>College and Career Readiness Anchor Standards for Reading</w:t>
            </w:r>
          </w:p>
        </w:tc>
      </w:tr>
      <w:tr w:rsidR="00473161" w:rsidRPr="00A134F2" w14:paraId="66F50C3A" w14:textId="77777777" w:rsidTr="00A160C3">
        <w:tc>
          <w:tcPr>
            <w:tcW w:w="1440" w:type="dxa"/>
            <w:shd w:val="clear" w:color="auto" w:fill="auto"/>
          </w:tcPr>
          <w:p w14:paraId="6C49E18B" w14:textId="61E302B5" w:rsidR="00473161" w:rsidRDefault="00473161" w:rsidP="00EE42EC">
            <w:pPr>
              <w:pStyle w:val="TableText"/>
            </w:pPr>
            <w:r>
              <w:t>CCRA.R.8</w:t>
            </w:r>
          </w:p>
        </w:tc>
        <w:tc>
          <w:tcPr>
            <w:tcW w:w="7910" w:type="dxa"/>
            <w:shd w:val="clear" w:color="auto" w:fill="auto"/>
          </w:tcPr>
          <w:p w14:paraId="695E6FD4" w14:textId="0E93F9D7" w:rsidR="00473161" w:rsidRPr="00F44671" w:rsidRDefault="00473161" w:rsidP="00EE42EC">
            <w:pPr>
              <w:pStyle w:val="TableText"/>
              <w:rPr>
                <w:rFonts w:eastAsia="Times New Roman"/>
              </w:rPr>
            </w:pPr>
            <w:r w:rsidRPr="00F44671">
              <w:rPr>
                <w:rFonts w:eastAsia="Times New Roman"/>
                <w:color w:val="202020"/>
              </w:rPr>
              <w:t>Delineate and evaluate the argument and specific claims in a text, including the validity of the reasoning as well as the relevance and sufficiency of the evidence.</w:t>
            </w:r>
          </w:p>
        </w:tc>
      </w:tr>
      <w:tr w:rsidR="009B46B3" w:rsidRPr="00A134F2" w14:paraId="79387BF6" w14:textId="77777777" w:rsidTr="00A160C3">
        <w:tc>
          <w:tcPr>
            <w:tcW w:w="1440" w:type="dxa"/>
            <w:shd w:val="clear" w:color="auto" w:fill="auto"/>
          </w:tcPr>
          <w:p w14:paraId="4D692617" w14:textId="415811B7" w:rsidR="009B46B3" w:rsidRPr="00A134F2" w:rsidRDefault="009B46B3" w:rsidP="00EE42EC">
            <w:pPr>
              <w:pStyle w:val="TableText"/>
            </w:pPr>
            <w:r>
              <w:t>CCRA.R.9</w:t>
            </w:r>
          </w:p>
        </w:tc>
        <w:tc>
          <w:tcPr>
            <w:tcW w:w="7910" w:type="dxa"/>
            <w:shd w:val="clear" w:color="auto" w:fill="auto"/>
          </w:tcPr>
          <w:p w14:paraId="7FE46D0D" w14:textId="7E05D561" w:rsidR="009B46B3" w:rsidRPr="00A134F2" w:rsidRDefault="003F231E" w:rsidP="00EE42EC">
            <w:pPr>
              <w:pStyle w:val="TableText"/>
            </w:pPr>
            <w:r w:rsidRPr="00A134F2">
              <w:t>Analyze how two or more texts address similar themes or topics in order to build knowledge or to compare the approaches the authors take.</w:t>
            </w:r>
          </w:p>
        </w:tc>
      </w:tr>
      <w:tr w:rsidR="0055161C" w:rsidRPr="002E6E78" w14:paraId="08CB0811" w14:textId="77777777" w:rsidTr="00455B4A">
        <w:tc>
          <w:tcPr>
            <w:tcW w:w="9350" w:type="dxa"/>
            <w:gridSpan w:val="2"/>
            <w:shd w:val="clear" w:color="auto" w:fill="1F497D" w:themeFill="text2"/>
          </w:tcPr>
          <w:p w14:paraId="06F89078" w14:textId="77777777" w:rsidR="0055161C" w:rsidRPr="00195F63" w:rsidRDefault="0055161C" w:rsidP="00A134F2">
            <w:pPr>
              <w:pStyle w:val="TableHeaders"/>
            </w:pPr>
            <w:r w:rsidRPr="002E6E78">
              <w:t>CCS Standards: Reading—Literature</w:t>
            </w:r>
          </w:p>
        </w:tc>
      </w:tr>
      <w:tr w:rsidR="00DB0103" w:rsidRPr="002E6E78" w14:paraId="3905DF5C" w14:textId="77777777" w:rsidTr="00A160C3">
        <w:tc>
          <w:tcPr>
            <w:tcW w:w="1440" w:type="dxa"/>
          </w:tcPr>
          <w:p w14:paraId="700117B0" w14:textId="045BA9E6" w:rsidR="00DB0103" w:rsidRPr="00195F63" w:rsidRDefault="009B46B3" w:rsidP="00EE42EC">
            <w:pPr>
              <w:pStyle w:val="TableText"/>
            </w:pPr>
            <w:r>
              <w:t>RL.11-12.2</w:t>
            </w:r>
          </w:p>
        </w:tc>
        <w:tc>
          <w:tcPr>
            <w:tcW w:w="7910" w:type="dxa"/>
          </w:tcPr>
          <w:p w14:paraId="74F6BEE2" w14:textId="7FC003B8" w:rsidR="00DB0103" w:rsidRPr="00195F63" w:rsidRDefault="009B46B3" w:rsidP="00EE42EC">
            <w:pPr>
              <w:pStyle w:val="TableText"/>
            </w:pPr>
            <w:r w:rsidRPr="00195F63">
              <w:rPr>
                <w:color w:val="000000"/>
              </w:rPr>
              <w:t>Determine two or more themes or central ideas of a text and analyze their development over the course of the text, including how they interact and build on one another to produce a complex account; provide an objective summary of the text.</w:t>
            </w:r>
          </w:p>
        </w:tc>
      </w:tr>
      <w:tr w:rsidR="00473161" w:rsidRPr="002E6E78" w14:paraId="258FCD01" w14:textId="77777777" w:rsidTr="00A160C3">
        <w:tc>
          <w:tcPr>
            <w:tcW w:w="1440" w:type="dxa"/>
          </w:tcPr>
          <w:p w14:paraId="09A50162" w14:textId="18B85E4E" w:rsidR="00473161" w:rsidRDefault="00473161" w:rsidP="00EE42EC">
            <w:pPr>
              <w:pStyle w:val="TableText"/>
            </w:pPr>
            <w:r>
              <w:t>RL.11-12.4</w:t>
            </w:r>
          </w:p>
        </w:tc>
        <w:tc>
          <w:tcPr>
            <w:tcW w:w="7910" w:type="dxa"/>
          </w:tcPr>
          <w:p w14:paraId="1A32AFD2" w14:textId="1F686741" w:rsidR="00473161" w:rsidRPr="008758EE" w:rsidRDefault="00473161" w:rsidP="00EE42EC">
            <w:pPr>
              <w:pStyle w:val="TableText"/>
            </w:pPr>
            <w:r w:rsidRPr="008758EE">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DB0103" w:rsidRPr="002E6E78" w14:paraId="52C130E9" w14:textId="77777777" w:rsidTr="006A1935">
        <w:tc>
          <w:tcPr>
            <w:tcW w:w="9350" w:type="dxa"/>
            <w:gridSpan w:val="2"/>
            <w:shd w:val="clear" w:color="auto" w:fill="1F497D" w:themeFill="text2"/>
          </w:tcPr>
          <w:p w14:paraId="5B93DE3A" w14:textId="77777777" w:rsidR="00DB0103" w:rsidRPr="002E6E78" w:rsidRDefault="00DB0103" w:rsidP="00A134F2">
            <w:pPr>
              <w:pStyle w:val="TableHeaders"/>
            </w:pPr>
            <w:r w:rsidRPr="002E6E78">
              <w:t>CCS Standards: Reading—Informational Text</w:t>
            </w:r>
          </w:p>
        </w:tc>
      </w:tr>
      <w:tr w:rsidR="00DB0103" w:rsidRPr="002E6E78" w14:paraId="1E343827" w14:textId="77777777" w:rsidTr="00A160C3">
        <w:tc>
          <w:tcPr>
            <w:tcW w:w="1440" w:type="dxa"/>
          </w:tcPr>
          <w:p w14:paraId="587E2C51" w14:textId="241A01AB" w:rsidR="00DB0103" w:rsidRPr="002E6E78" w:rsidRDefault="009B46B3" w:rsidP="0026003C">
            <w:pPr>
              <w:pStyle w:val="TableText"/>
              <w:spacing w:before="20" w:after="20" w:line="271" w:lineRule="auto"/>
            </w:pPr>
            <w:r>
              <w:t>RI.11-12.2</w:t>
            </w:r>
          </w:p>
        </w:tc>
        <w:tc>
          <w:tcPr>
            <w:tcW w:w="7910" w:type="dxa"/>
          </w:tcPr>
          <w:p w14:paraId="7B76F8D0" w14:textId="5FA957E7" w:rsidR="00DB0103" w:rsidRPr="002E6E78" w:rsidRDefault="003F231E" w:rsidP="003F231E">
            <w:pPr>
              <w:pStyle w:val="TableText"/>
              <w:tabs>
                <w:tab w:val="left" w:pos="1950"/>
              </w:tabs>
              <w:spacing w:before="20" w:after="20" w:line="271" w:lineRule="auto"/>
            </w:pPr>
            <w:r w:rsidRPr="002E6E78">
              <w:rPr>
                <w:color w:val="000000"/>
              </w:rPr>
              <w:t>Determine two or more central ideas of a text and analyze their development over the course of the text, including how they interact and build on one another to provide a complex analysis; provide an objective summary of the text.</w:t>
            </w:r>
          </w:p>
        </w:tc>
      </w:tr>
      <w:tr w:rsidR="00DB0103" w:rsidRPr="002E6E78" w14:paraId="4D7B1F00" w14:textId="77777777" w:rsidTr="00A160C3">
        <w:tc>
          <w:tcPr>
            <w:tcW w:w="1440" w:type="dxa"/>
          </w:tcPr>
          <w:p w14:paraId="545AFBEB" w14:textId="1971CAB3" w:rsidR="00DB0103" w:rsidRPr="002E6E78" w:rsidRDefault="009B46B3" w:rsidP="0026003C">
            <w:pPr>
              <w:pStyle w:val="TableText"/>
              <w:spacing w:before="20" w:after="20" w:line="271" w:lineRule="auto"/>
            </w:pPr>
            <w:r>
              <w:t>RI.11-12.3</w:t>
            </w:r>
          </w:p>
        </w:tc>
        <w:tc>
          <w:tcPr>
            <w:tcW w:w="7910" w:type="dxa"/>
          </w:tcPr>
          <w:p w14:paraId="417F58B6" w14:textId="13CF8210" w:rsidR="00DB0103" w:rsidRPr="002E6E78" w:rsidRDefault="003F231E" w:rsidP="0026003C">
            <w:pPr>
              <w:pStyle w:val="TableText"/>
              <w:spacing w:before="20" w:after="20" w:line="271" w:lineRule="auto"/>
              <w:rPr>
                <w:color w:val="000000"/>
              </w:rPr>
            </w:pPr>
            <w:r w:rsidRPr="002E6E78">
              <w:t>Analyze a complex set of ideas or sequence of events and explain how specific individuals, ideas, or events interact and develop over the course of the text.</w:t>
            </w:r>
          </w:p>
        </w:tc>
      </w:tr>
      <w:tr w:rsidR="009B46B3" w:rsidRPr="002E6E78" w14:paraId="73E20724" w14:textId="77777777" w:rsidTr="00A160C3">
        <w:tc>
          <w:tcPr>
            <w:tcW w:w="1440" w:type="dxa"/>
          </w:tcPr>
          <w:p w14:paraId="467C53E1" w14:textId="0E5F2156" w:rsidR="009B46B3" w:rsidRPr="002E6E78" w:rsidRDefault="009B46B3" w:rsidP="0026003C">
            <w:pPr>
              <w:pStyle w:val="TableText"/>
              <w:spacing w:before="20" w:after="20" w:line="271" w:lineRule="auto"/>
            </w:pPr>
            <w:r>
              <w:t>RI.11-12.</w:t>
            </w:r>
            <w:r w:rsidR="00473161">
              <w:t>4</w:t>
            </w:r>
          </w:p>
        </w:tc>
        <w:tc>
          <w:tcPr>
            <w:tcW w:w="7910" w:type="dxa"/>
          </w:tcPr>
          <w:p w14:paraId="2AAAC205" w14:textId="6577AC7A" w:rsidR="009B46B3" w:rsidRPr="00F44671" w:rsidRDefault="00595D4D" w:rsidP="00EE42EC">
            <w:pPr>
              <w:pStyle w:val="TableText"/>
            </w:pPr>
            <w:r w:rsidRPr="00F44671">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8758EE">
              <w:rPr>
                <w:i/>
              </w:rPr>
              <w:t>faction</w:t>
            </w:r>
            <w:r w:rsidRPr="00F44671">
              <w:t xml:space="preserve"> in </w:t>
            </w:r>
            <w:r w:rsidRPr="008758EE">
              <w:rPr>
                <w:i/>
              </w:rPr>
              <w:t xml:space="preserve">Federalist </w:t>
            </w:r>
            <w:r w:rsidRPr="00F44671">
              <w:t>No. 10).</w:t>
            </w:r>
          </w:p>
        </w:tc>
      </w:tr>
      <w:tr w:rsidR="009B46B3" w:rsidRPr="002E6E78" w14:paraId="78DE325C" w14:textId="77777777" w:rsidTr="00A160C3">
        <w:tc>
          <w:tcPr>
            <w:tcW w:w="1440" w:type="dxa"/>
          </w:tcPr>
          <w:p w14:paraId="25A56BE4" w14:textId="68554D4E" w:rsidR="009B46B3" w:rsidRPr="002E6E78" w:rsidRDefault="009B46B3" w:rsidP="0026003C">
            <w:pPr>
              <w:pStyle w:val="TableText"/>
              <w:spacing w:before="20" w:after="20" w:line="271" w:lineRule="auto"/>
            </w:pPr>
            <w:r>
              <w:t>RI.11-12.6</w:t>
            </w:r>
          </w:p>
        </w:tc>
        <w:tc>
          <w:tcPr>
            <w:tcW w:w="7910" w:type="dxa"/>
          </w:tcPr>
          <w:p w14:paraId="5628DE1F" w14:textId="74472448" w:rsidR="009B46B3" w:rsidRPr="002E6E78" w:rsidRDefault="003F231E" w:rsidP="003F231E">
            <w:pPr>
              <w:pStyle w:val="TableText"/>
              <w:spacing w:before="20" w:after="20" w:line="271" w:lineRule="auto"/>
              <w:rPr>
                <w:color w:val="000000"/>
              </w:rPr>
            </w:pPr>
            <w:r w:rsidRPr="002E6E78">
              <w:rPr>
                <w:rFonts w:cs="Calibri"/>
              </w:rPr>
              <w:t>Determine an author’s point of view or purpose in a text in which the rhetoric is particularly effective, analyzing how style and content contribute to the power, persuasiveness, or beauty of the text. </w:t>
            </w:r>
          </w:p>
        </w:tc>
      </w:tr>
      <w:tr w:rsidR="00DB0103" w:rsidRPr="002E6E78" w14:paraId="32D01EF6" w14:textId="77777777" w:rsidTr="00F4200F">
        <w:trPr>
          <w:trHeight w:val="138"/>
        </w:trPr>
        <w:tc>
          <w:tcPr>
            <w:tcW w:w="9350" w:type="dxa"/>
            <w:gridSpan w:val="2"/>
            <w:shd w:val="clear" w:color="auto" w:fill="1F497D" w:themeFill="text2"/>
          </w:tcPr>
          <w:p w14:paraId="07611786" w14:textId="77777777" w:rsidR="00DB0103" w:rsidRPr="002E6E78" w:rsidRDefault="00DB0103" w:rsidP="00A134F2">
            <w:pPr>
              <w:pStyle w:val="TableHeaders"/>
            </w:pPr>
            <w:r w:rsidRPr="002E6E78">
              <w:t xml:space="preserve">CCS </w:t>
            </w:r>
            <w:r w:rsidRPr="006A1935">
              <w:rPr>
                <w:shd w:val="clear" w:color="auto" w:fill="1F497D" w:themeFill="text2"/>
              </w:rPr>
              <w:t>Standards: Writing</w:t>
            </w:r>
          </w:p>
        </w:tc>
      </w:tr>
      <w:tr w:rsidR="00DB0103" w:rsidRPr="002E6E78" w14:paraId="10FBA01B" w14:textId="77777777" w:rsidTr="00A160C3">
        <w:tc>
          <w:tcPr>
            <w:tcW w:w="1440" w:type="dxa"/>
          </w:tcPr>
          <w:p w14:paraId="75408E71" w14:textId="6E96CE99" w:rsidR="00DB0103" w:rsidRPr="002E6E78" w:rsidRDefault="00473161" w:rsidP="00473161">
            <w:pPr>
              <w:pStyle w:val="TableText"/>
            </w:pPr>
            <w:r>
              <w:t>W.11-12.2.a-f</w:t>
            </w:r>
            <w:r w:rsidDel="00473161">
              <w:t xml:space="preserve"> </w:t>
            </w:r>
          </w:p>
        </w:tc>
        <w:tc>
          <w:tcPr>
            <w:tcW w:w="7910" w:type="dxa"/>
          </w:tcPr>
          <w:p w14:paraId="597231DC" w14:textId="77777777" w:rsidR="00473161" w:rsidRDefault="00473161" w:rsidP="00473161">
            <w:pPr>
              <w:pStyle w:val="TableText"/>
            </w:pPr>
            <w:r w:rsidRPr="00195F63">
              <w:t>Write informative/explanatory texts to examine and convey complex ideas, concepts, and information clearly and accurately through the effective selection, organization, and analysis of content</w:t>
            </w:r>
            <w:r>
              <w:t>.</w:t>
            </w:r>
          </w:p>
          <w:p w14:paraId="0CEFAF8C" w14:textId="30A6C38A" w:rsidR="00473161" w:rsidRDefault="00473161" w:rsidP="00452AF8">
            <w:pPr>
              <w:pStyle w:val="ListParagraph"/>
              <w:numPr>
                <w:ilvl w:val="0"/>
                <w:numId w:val="14"/>
              </w:numPr>
              <w:autoSpaceDE w:val="0"/>
              <w:autoSpaceDN w:val="0"/>
              <w:adjustRightInd w:val="0"/>
              <w:spacing w:before="0" w:after="0"/>
              <w:ind w:left="342"/>
            </w:pPr>
            <w:r>
              <w:lastRenderedPageBreak/>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622E538A" w14:textId="373518AE" w:rsidR="00473161" w:rsidRDefault="00473161" w:rsidP="00452AF8">
            <w:pPr>
              <w:pStyle w:val="ListParagraph"/>
              <w:numPr>
                <w:ilvl w:val="0"/>
                <w:numId w:val="14"/>
              </w:numPr>
              <w:autoSpaceDE w:val="0"/>
              <w:autoSpaceDN w:val="0"/>
              <w:adjustRightInd w:val="0"/>
              <w:spacing w:before="0" w:after="0"/>
              <w:ind w:left="342"/>
            </w:pPr>
            <w:r>
              <w:t>Develop the topic thoroughly by selecting the most significant and relevant facts, extended definitions, concrete details, quotations, or other information and examples appropriate to the audience’s knowledge of the topic.</w:t>
            </w:r>
          </w:p>
          <w:p w14:paraId="2647D27D" w14:textId="022AB29A" w:rsidR="00473161" w:rsidRDefault="00473161" w:rsidP="00452AF8">
            <w:pPr>
              <w:pStyle w:val="ListParagraph"/>
              <w:numPr>
                <w:ilvl w:val="0"/>
                <w:numId w:val="14"/>
              </w:numPr>
              <w:autoSpaceDE w:val="0"/>
              <w:autoSpaceDN w:val="0"/>
              <w:adjustRightInd w:val="0"/>
              <w:spacing w:before="0" w:after="0"/>
              <w:ind w:left="342"/>
            </w:pPr>
            <w:r>
              <w:t>Use appropriate and varied transitions and syntax to link the major sections of the text, create cohesion, and clarify the relationships among complex ideas and concepts.</w:t>
            </w:r>
          </w:p>
          <w:p w14:paraId="2C62DAD4" w14:textId="1A611C36" w:rsidR="00473161" w:rsidRDefault="00473161" w:rsidP="00452AF8">
            <w:pPr>
              <w:pStyle w:val="ListParagraph"/>
              <w:numPr>
                <w:ilvl w:val="0"/>
                <w:numId w:val="14"/>
              </w:numPr>
              <w:autoSpaceDE w:val="0"/>
              <w:autoSpaceDN w:val="0"/>
              <w:adjustRightInd w:val="0"/>
              <w:spacing w:before="0" w:after="0"/>
              <w:ind w:left="342"/>
            </w:pPr>
            <w:r>
              <w:t>Use precise language, domain-specific vocabulary, and techniques such as metaphor, simile, and analogy to manage the complexity of the topic.</w:t>
            </w:r>
          </w:p>
          <w:p w14:paraId="6771D38D" w14:textId="349F8590" w:rsidR="00473161" w:rsidRDefault="00473161" w:rsidP="00452AF8">
            <w:pPr>
              <w:pStyle w:val="ListParagraph"/>
              <w:numPr>
                <w:ilvl w:val="0"/>
                <w:numId w:val="14"/>
              </w:numPr>
              <w:autoSpaceDE w:val="0"/>
              <w:autoSpaceDN w:val="0"/>
              <w:adjustRightInd w:val="0"/>
              <w:spacing w:before="0" w:after="0"/>
              <w:ind w:left="342"/>
            </w:pPr>
            <w:r>
              <w:t>Establish and maintain a formal style and objective tone while attending to the norms and conventions of the discipline in which they are writing.</w:t>
            </w:r>
          </w:p>
          <w:p w14:paraId="48A58567" w14:textId="02EA8AA9" w:rsidR="003F231E" w:rsidRPr="00195F63" w:rsidRDefault="00473161" w:rsidP="00452AF8">
            <w:pPr>
              <w:pStyle w:val="ListParagraph"/>
              <w:numPr>
                <w:ilvl w:val="0"/>
                <w:numId w:val="14"/>
              </w:numPr>
              <w:autoSpaceDE w:val="0"/>
              <w:autoSpaceDN w:val="0"/>
              <w:adjustRightInd w:val="0"/>
              <w:spacing w:before="0" w:after="0"/>
              <w:ind w:left="342"/>
            </w:pPr>
            <w:r>
              <w:t>Provide a concluding statement or section that follows from and supports the information or explanation presented (e.g., articulating implications or the significance of the topic).</w:t>
            </w:r>
          </w:p>
        </w:tc>
      </w:tr>
      <w:tr w:rsidR="00563648" w:rsidRPr="002E6E78" w14:paraId="79413EB4" w14:textId="77777777" w:rsidTr="00AD4ACB">
        <w:trPr>
          <w:trHeight w:val="854"/>
        </w:trPr>
        <w:tc>
          <w:tcPr>
            <w:tcW w:w="1440" w:type="dxa"/>
          </w:tcPr>
          <w:p w14:paraId="2039DD90" w14:textId="79D5E773" w:rsidR="00563648" w:rsidRPr="002E6E78" w:rsidRDefault="00473161" w:rsidP="00A134F2">
            <w:pPr>
              <w:pStyle w:val="TableText"/>
            </w:pPr>
            <w:r w:rsidRPr="004E013C">
              <w:lastRenderedPageBreak/>
              <w:t>W.11-12.5</w:t>
            </w:r>
          </w:p>
        </w:tc>
        <w:tc>
          <w:tcPr>
            <w:tcW w:w="7910" w:type="dxa"/>
          </w:tcPr>
          <w:p w14:paraId="66F5A82A" w14:textId="774D87A0" w:rsidR="00563648" w:rsidRPr="00195F63" w:rsidRDefault="00595D4D" w:rsidP="00044848">
            <w:pPr>
              <w:pStyle w:val="TableText"/>
            </w:pPr>
            <w:r w:rsidRPr="00F44671">
              <w:t xml:space="preserve">Develop and strengthen writing as needed by planning, revising, editing, rewriting, or trying a new approach, focusing on addressing what is most significant for a specific purpose and audience. </w:t>
            </w:r>
          </w:p>
        </w:tc>
      </w:tr>
      <w:tr w:rsidR="00DB0103" w:rsidRPr="002E6E78" w14:paraId="05969EE3" w14:textId="77777777" w:rsidTr="00F4200F">
        <w:tc>
          <w:tcPr>
            <w:tcW w:w="9350" w:type="dxa"/>
            <w:gridSpan w:val="2"/>
            <w:shd w:val="clear" w:color="auto" w:fill="1F497D" w:themeFill="text2"/>
          </w:tcPr>
          <w:p w14:paraId="570F6B5C" w14:textId="77777777" w:rsidR="00DB0103" w:rsidRPr="002E6E78" w:rsidRDefault="00DB0103" w:rsidP="00C0799A">
            <w:pPr>
              <w:pStyle w:val="TableHeaders"/>
              <w:keepNext/>
            </w:pPr>
            <w:r w:rsidRPr="002E6E78">
              <w:t>CCS Standards: Speaking &amp; Listening</w:t>
            </w:r>
          </w:p>
        </w:tc>
      </w:tr>
      <w:tr w:rsidR="00A239CF" w:rsidRPr="00A134F2" w14:paraId="74FACC70" w14:textId="77777777" w:rsidTr="00A239CF">
        <w:trPr>
          <w:trHeight w:val="346"/>
        </w:trPr>
        <w:tc>
          <w:tcPr>
            <w:tcW w:w="1440" w:type="dxa"/>
          </w:tcPr>
          <w:p w14:paraId="5B88C471" w14:textId="5CB418D3" w:rsidR="00595D4D" w:rsidRPr="00A134F2" w:rsidRDefault="00595D4D" w:rsidP="00563648">
            <w:pPr>
              <w:pStyle w:val="TableText"/>
            </w:pPr>
            <w:r w:rsidRPr="001B7154">
              <w:t>SL.11-12.1a, c</w:t>
            </w:r>
          </w:p>
        </w:tc>
        <w:tc>
          <w:tcPr>
            <w:tcW w:w="7910" w:type="dxa"/>
          </w:tcPr>
          <w:p w14:paraId="17FF9AD9" w14:textId="5FFCD64A" w:rsidR="00595D4D" w:rsidRPr="00595D4D" w:rsidRDefault="00595D4D" w:rsidP="00F44671">
            <w:pPr>
              <w:pStyle w:val="TableText"/>
              <w:rPr>
                <w:rFonts w:ascii="Times" w:hAnsi="Times"/>
                <w:sz w:val="20"/>
                <w:szCs w:val="20"/>
              </w:rPr>
            </w:pPr>
            <w:r w:rsidRPr="00595D4D">
              <w:t xml:space="preserve">Initiate and participate effectively in a range of collaborative discussions (one-on-one, in groups, and teacher-led) with diverse partners on </w:t>
            </w:r>
            <w:r w:rsidRPr="008758EE">
              <w:rPr>
                <w:i/>
              </w:rPr>
              <w:t>grades 11</w:t>
            </w:r>
            <w:r w:rsidR="008758EE" w:rsidRPr="008758EE">
              <w:rPr>
                <w:i/>
              </w:rPr>
              <w:t>–</w:t>
            </w:r>
            <w:r w:rsidRPr="008758EE">
              <w:rPr>
                <w:i/>
              </w:rPr>
              <w:t>12 topics, texts, and issues</w:t>
            </w:r>
            <w:r w:rsidRPr="00595D4D">
              <w:t>, building on others' ideas and expressing their own clearly and persuasively.</w:t>
            </w:r>
          </w:p>
          <w:p w14:paraId="570D09EE" w14:textId="6DBF4CE0" w:rsidR="00595D4D" w:rsidRPr="00AD4ACB" w:rsidRDefault="00595D4D" w:rsidP="00452AF8">
            <w:pPr>
              <w:pStyle w:val="ListParagraph"/>
              <w:numPr>
                <w:ilvl w:val="0"/>
                <w:numId w:val="15"/>
              </w:numPr>
              <w:autoSpaceDE w:val="0"/>
              <w:autoSpaceDN w:val="0"/>
              <w:adjustRightInd w:val="0"/>
              <w:spacing w:before="0" w:after="0"/>
              <w:ind w:left="342"/>
            </w:pPr>
            <w:r w:rsidRPr="00595D4D">
              <w:t>Come to discussions prepared, having read and researched material under study; explicitly draw on that preparation by referring to evidence from texts and other research on the topic or issue to stimulate a thoughtful, well-reasoned exchange of ideas.</w:t>
            </w:r>
          </w:p>
          <w:p w14:paraId="633B4CB6" w14:textId="17BC59A6" w:rsidR="00595D4D" w:rsidRPr="00AD4ACB" w:rsidRDefault="00595D4D" w:rsidP="00452AF8">
            <w:pPr>
              <w:pStyle w:val="ListParagraph"/>
              <w:numPr>
                <w:ilvl w:val="0"/>
                <w:numId w:val="12"/>
              </w:numPr>
              <w:autoSpaceDE w:val="0"/>
              <w:autoSpaceDN w:val="0"/>
              <w:adjustRightInd w:val="0"/>
              <w:spacing w:before="0" w:after="0"/>
              <w:ind w:left="342"/>
              <w:rPr>
                <w:rFonts w:ascii="Times" w:hAnsi="Times"/>
                <w:sz w:val="20"/>
                <w:szCs w:val="20"/>
              </w:rPr>
            </w:pPr>
            <w:r w:rsidRPr="00595D4D">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DB0103" w:rsidRPr="002E6E78" w14:paraId="7F8402A4" w14:textId="77777777" w:rsidTr="00F4200F">
        <w:tc>
          <w:tcPr>
            <w:tcW w:w="9350" w:type="dxa"/>
            <w:gridSpan w:val="2"/>
            <w:shd w:val="clear" w:color="auto" w:fill="1F497D" w:themeFill="text2"/>
          </w:tcPr>
          <w:p w14:paraId="028D3DAF" w14:textId="77777777" w:rsidR="00DB0103" w:rsidRPr="002E6E78" w:rsidRDefault="00DB0103" w:rsidP="00A134F2">
            <w:pPr>
              <w:pStyle w:val="TableHeaders"/>
              <w:keepNext/>
            </w:pPr>
            <w:r w:rsidRPr="002E6E78">
              <w:t>CCS Standards: Language</w:t>
            </w:r>
          </w:p>
        </w:tc>
      </w:tr>
      <w:tr w:rsidR="00536F45" w:rsidRPr="002E6E78" w14:paraId="0D144AED" w14:textId="77777777" w:rsidTr="00A239CF">
        <w:tc>
          <w:tcPr>
            <w:tcW w:w="1440" w:type="dxa"/>
          </w:tcPr>
          <w:p w14:paraId="0F27CD59" w14:textId="5E8B1B5F" w:rsidR="00536F45" w:rsidRDefault="00536F45" w:rsidP="00A134F2">
            <w:pPr>
              <w:pStyle w:val="TableText"/>
            </w:pPr>
            <w:r>
              <w:t>L.11-12.1</w:t>
            </w:r>
          </w:p>
        </w:tc>
        <w:tc>
          <w:tcPr>
            <w:tcW w:w="7910" w:type="dxa"/>
          </w:tcPr>
          <w:p w14:paraId="04FD8642" w14:textId="45FF800E" w:rsidR="00536F45" w:rsidRPr="00077E34" w:rsidRDefault="002F2A22" w:rsidP="00077E34">
            <w:pPr>
              <w:pStyle w:val="TableText"/>
              <w:rPr>
                <w:rFonts w:ascii="Times" w:hAnsi="Times"/>
                <w:sz w:val="20"/>
                <w:szCs w:val="20"/>
              </w:rPr>
            </w:pPr>
            <w:r w:rsidRPr="002F2A22">
              <w:t>Demonstrate command of the conventions of standard English grammar and usage when writing or speaking.</w:t>
            </w:r>
          </w:p>
        </w:tc>
      </w:tr>
      <w:tr w:rsidR="00536F45" w:rsidRPr="002E6E78" w14:paraId="5D243C17" w14:textId="77777777" w:rsidTr="00A239CF">
        <w:tc>
          <w:tcPr>
            <w:tcW w:w="1440" w:type="dxa"/>
          </w:tcPr>
          <w:p w14:paraId="6F299CCE" w14:textId="19A5EAF9" w:rsidR="00536F45" w:rsidRDefault="00536F45" w:rsidP="00A134F2">
            <w:pPr>
              <w:pStyle w:val="TableText"/>
            </w:pPr>
            <w:r>
              <w:t>L.11-12.2</w:t>
            </w:r>
          </w:p>
        </w:tc>
        <w:tc>
          <w:tcPr>
            <w:tcW w:w="7910" w:type="dxa"/>
          </w:tcPr>
          <w:p w14:paraId="2A7171B7" w14:textId="1C6E13EF" w:rsidR="00536F45" w:rsidRPr="00077E34" w:rsidRDefault="002F2A22" w:rsidP="00077E34">
            <w:pPr>
              <w:pStyle w:val="TableText"/>
              <w:rPr>
                <w:rFonts w:ascii="Times" w:hAnsi="Times"/>
                <w:sz w:val="20"/>
                <w:szCs w:val="20"/>
              </w:rPr>
            </w:pPr>
            <w:r w:rsidRPr="002F2A22">
              <w:t>Demonstrate command of the conventions of standard English capitalization, punctuation, and spelling when writing.</w:t>
            </w:r>
          </w:p>
        </w:tc>
      </w:tr>
      <w:tr w:rsidR="00F415BB" w:rsidRPr="002E6E78" w14:paraId="5C2C4CE6" w14:textId="77777777" w:rsidTr="002F49A6">
        <w:tc>
          <w:tcPr>
            <w:tcW w:w="1440" w:type="dxa"/>
          </w:tcPr>
          <w:p w14:paraId="114525ED" w14:textId="0240496D" w:rsidR="00F415BB" w:rsidRDefault="00AD4ACB" w:rsidP="00A134F2">
            <w:pPr>
              <w:pStyle w:val="TableText"/>
            </w:pPr>
            <w:r>
              <w:lastRenderedPageBreak/>
              <w:t>L.11-12.5.a</w:t>
            </w:r>
          </w:p>
        </w:tc>
        <w:tc>
          <w:tcPr>
            <w:tcW w:w="7910" w:type="dxa"/>
          </w:tcPr>
          <w:p w14:paraId="03A61405" w14:textId="77777777" w:rsidR="00F415BB" w:rsidRDefault="00F415BB" w:rsidP="00F415BB">
            <w:pPr>
              <w:autoSpaceDE w:val="0"/>
              <w:autoSpaceDN w:val="0"/>
              <w:adjustRightInd w:val="0"/>
              <w:spacing w:before="0" w:after="0"/>
            </w:pPr>
            <w:r w:rsidRPr="001552F7">
              <w:t>Demonstrate understanding of figurative language, word relationship</w:t>
            </w:r>
            <w:r>
              <w:t xml:space="preserve">s, and nuances in word meanings. </w:t>
            </w:r>
          </w:p>
          <w:p w14:paraId="24CCB444" w14:textId="2DB01414" w:rsidR="00F415BB" w:rsidRPr="00F415BB" w:rsidRDefault="00F415BB" w:rsidP="00452AF8">
            <w:pPr>
              <w:pStyle w:val="ListParagraph"/>
              <w:numPr>
                <w:ilvl w:val="0"/>
                <w:numId w:val="16"/>
              </w:numPr>
              <w:autoSpaceDE w:val="0"/>
              <w:autoSpaceDN w:val="0"/>
              <w:adjustRightInd w:val="0"/>
              <w:spacing w:before="0" w:after="0"/>
              <w:ind w:left="342"/>
            </w:pPr>
            <w:r>
              <w:t xml:space="preserve">Interpret figures of speech (e.g., </w:t>
            </w:r>
            <w:r w:rsidR="008758EE">
              <w:t>hyperbole, paradox</w:t>
            </w:r>
            <w:r>
              <w:t xml:space="preserve">) in context and analyze their role in the text. </w:t>
            </w:r>
          </w:p>
        </w:tc>
      </w:tr>
    </w:tbl>
    <w:p w14:paraId="0B67D22F" w14:textId="77777777" w:rsidR="00736BBE" w:rsidRPr="00F4200F" w:rsidRDefault="00736BBE" w:rsidP="00736BBE">
      <w:pPr>
        <w:pStyle w:val="Heading2"/>
        <w:rPr>
          <w:rFonts w:asciiTheme="minorHAnsi" w:hAnsiTheme="minorHAnsi"/>
        </w:rPr>
      </w:pPr>
      <w:r w:rsidRPr="00F4200F">
        <w:rPr>
          <w:rFonts w:asciiTheme="minorHAnsi" w:hAnsiTheme="minorHAnsi"/>
        </w:rPr>
        <w:t>Addressed Standards</w:t>
      </w:r>
    </w:p>
    <w:p w14:paraId="28F6F957" w14:textId="77777777" w:rsidR="00736BBE" w:rsidRPr="002E6E78" w:rsidRDefault="00736BBE" w:rsidP="00736BBE">
      <w:r w:rsidRPr="002E6E78">
        <w:t xml:space="preserve">These standards will be addressed at the unit or module level, and may be considered in assessment, but will not be the focus of extended instruction in this module.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
        <w:gridCol w:w="8082"/>
      </w:tblGrid>
      <w:tr w:rsidR="00736BBE" w:rsidRPr="002E6E78" w14:paraId="117764C8" w14:textId="77777777" w:rsidTr="00E330B6">
        <w:tc>
          <w:tcPr>
            <w:tcW w:w="9350" w:type="dxa"/>
            <w:gridSpan w:val="3"/>
            <w:shd w:val="clear" w:color="auto" w:fill="1F497D" w:themeFill="text2"/>
          </w:tcPr>
          <w:p w14:paraId="25C85526" w14:textId="77777777" w:rsidR="00736BBE" w:rsidRPr="002E6E78" w:rsidRDefault="00736BBE" w:rsidP="00E330B6">
            <w:pPr>
              <w:pStyle w:val="TableHeaders"/>
              <w:keepNext/>
            </w:pPr>
            <w:r w:rsidRPr="002E6E78">
              <w:t>College and Career Readiness Anchor Standards for Reading</w:t>
            </w:r>
          </w:p>
        </w:tc>
      </w:tr>
      <w:tr w:rsidR="00E330B6" w:rsidRPr="002E6E78" w14:paraId="5AF8E424" w14:textId="77777777" w:rsidTr="00E330B6">
        <w:tc>
          <w:tcPr>
            <w:tcW w:w="9350" w:type="dxa"/>
            <w:gridSpan w:val="3"/>
            <w:shd w:val="clear" w:color="auto" w:fill="auto"/>
          </w:tcPr>
          <w:p w14:paraId="47E94495" w14:textId="2CC22F8A" w:rsidR="00E330B6" w:rsidRPr="00E330B6" w:rsidRDefault="00E330B6" w:rsidP="00E330B6">
            <w:pPr>
              <w:pStyle w:val="TableHeaders"/>
              <w:keepNext/>
              <w:rPr>
                <w:b w:val="0"/>
                <w:color w:val="auto"/>
              </w:rPr>
            </w:pPr>
            <w:r w:rsidRPr="003E7F4F">
              <w:rPr>
                <w:b w:val="0"/>
                <w:i/>
                <w:color w:val="auto"/>
              </w:rPr>
              <w:t xml:space="preserve"> </w:t>
            </w:r>
            <w:r w:rsidRPr="00F44671">
              <w:rPr>
                <w:b w:val="0"/>
                <w:color w:val="auto"/>
              </w:rPr>
              <w:t xml:space="preserve">None. </w:t>
            </w:r>
          </w:p>
        </w:tc>
      </w:tr>
      <w:tr w:rsidR="00736BBE" w:rsidRPr="002E6E78" w14:paraId="70140F6B" w14:textId="77777777" w:rsidTr="00E330B6">
        <w:tc>
          <w:tcPr>
            <w:tcW w:w="9350" w:type="dxa"/>
            <w:gridSpan w:val="3"/>
            <w:shd w:val="clear" w:color="auto" w:fill="1F497D" w:themeFill="text2"/>
          </w:tcPr>
          <w:p w14:paraId="19551505" w14:textId="77777777" w:rsidR="00736BBE" w:rsidRPr="00554D72" w:rsidRDefault="00736BBE" w:rsidP="00E330B6">
            <w:pPr>
              <w:pStyle w:val="TableHeaders"/>
              <w:keepNext/>
            </w:pPr>
            <w:r w:rsidRPr="002E6E78">
              <w:t>CCS Standards: Reading – Literature</w:t>
            </w:r>
          </w:p>
        </w:tc>
      </w:tr>
      <w:tr w:rsidR="00E330B6" w:rsidRPr="00B949EA" w14:paraId="1DDFBBC2" w14:textId="77777777" w:rsidTr="00E330B6">
        <w:tc>
          <w:tcPr>
            <w:tcW w:w="9350" w:type="dxa"/>
            <w:gridSpan w:val="3"/>
            <w:shd w:val="clear" w:color="auto" w:fill="auto"/>
          </w:tcPr>
          <w:p w14:paraId="43A7F7F1" w14:textId="03524D54" w:rsidR="00E330B6" w:rsidRPr="00B949EA" w:rsidRDefault="00E330B6" w:rsidP="00E330B6">
            <w:pPr>
              <w:pStyle w:val="TableText"/>
            </w:pPr>
            <w:r>
              <w:t>None.</w:t>
            </w:r>
          </w:p>
        </w:tc>
      </w:tr>
      <w:tr w:rsidR="00736BBE" w:rsidRPr="002E6E78" w14:paraId="562925B9" w14:textId="77777777" w:rsidTr="00E330B6">
        <w:tc>
          <w:tcPr>
            <w:tcW w:w="9350" w:type="dxa"/>
            <w:gridSpan w:val="3"/>
            <w:shd w:val="clear" w:color="auto" w:fill="1F497D" w:themeFill="text2"/>
          </w:tcPr>
          <w:p w14:paraId="2B32C7D6" w14:textId="77777777" w:rsidR="00736BBE" w:rsidRPr="002E6E78" w:rsidRDefault="00736BBE" w:rsidP="00E330B6">
            <w:pPr>
              <w:pStyle w:val="TableHeaders"/>
            </w:pPr>
            <w:r w:rsidRPr="002E6E78">
              <w:t xml:space="preserve">CCS Standards: </w:t>
            </w:r>
            <w:r w:rsidRPr="00B949EA">
              <w:t>Reading</w:t>
            </w:r>
            <w:r w:rsidRPr="002E6E78">
              <w:t xml:space="preserve"> – Informational Text</w:t>
            </w:r>
          </w:p>
        </w:tc>
      </w:tr>
      <w:tr w:rsidR="00E330B6" w:rsidRPr="002E6E78" w14:paraId="4A5C36E3" w14:textId="77777777" w:rsidTr="00E330B6">
        <w:tc>
          <w:tcPr>
            <w:tcW w:w="9350" w:type="dxa"/>
            <w:gridSpan w:val="3"/>
          </w:tcPr>
          <w:p w14:paraId="1FC45777" w14:textId="4A89BC56" w:rsidR="00E330B6" w:rsidRPr="00EB5F90" w:rsidRDefault="00E330B6" w:rsidP="00E330B6">
            <w:pPr>
              <w:pStyle w:val="TableText"/>
            </w:pPr>
            <w:r>
              <w:t xml:space="preserve">None. </w:t>
            </w:r>
          </w:p>
        </w:tc>
      </w:tr>
      <w:tr w:rsidR="00736BBE" w:rsidRPr="002E6E78" w14:paraId="31FE1B00" w14:textId="77777777" w:rsidTr="00E330B6">
        <w:trPr>
          <w:trHeight w:val="138"/>
        </w:trPr>
        <w:tc>
          <w:tcPr>
            <w:tcW w:w="9350" w:type="dxa"/>
            <w:gridSpan w:val="3"/>
            <w:shd w:val="clear" w:color="auto" w:fill="1F497D" w:themeFill="text2"/>
          </w:tcPr>
          <w:p w14:paraId="4EB28751" w14:textId="77777777" w:rsidR="00736BBE" w:rsidRPr="002E6E78" w:rsidRDefault="00736BBE" w:rsidP="00E330B6">
            <w:pPr>
              <w:pStyle w:val="TableHeaders"/>
            </w:pPr>
            <w:r w:rsidRPr="002E6E78">
              <w:t>CCS Standards: Writing</w:t>
            </w:r>
          </w:p>
        </w:tc>
      </w:tr>
      <w:tr w:rsidR="00736BBE" w:rsidRPr="002E6E78" w14:paraId="7F2AD7B1" w14:textId="77777777" w:rsidTr="00E330B6">
        <w:tc>
          <w:tcPr>
            <w:tcW w:w="1268" w:type="dxa"/>
            <w:gridSpan w:val="2"/>
          </w:tcPr>
          <w:p w14:paraId="3F17BFEC" w14:textId="77777777" w:rsidR="00E330B6" w:rsidRPr="004E013C" w:rsidRDefault="00E330B6" w:rsidP="00E330B6">
            <w:r w:rsidRPr="004E013C">
              <w:t>W.11-12.4</w:t>
            </w:r>
          </w:p>
          <w:p w14:paraId="7C5E8A0A" w14:textId="77777777" w:rsidR="00736BBE" w:rsidRPr="002E6E78" w:rsidRDefault="00736BBE" w:rsidP="00E330B6">
            <w:pPr>
              <w:pStyle w:val="TableText"/>
            </w:pPr>
          </w:p>
        </w:tc>
        <w:tc>
          <w:tcPr>
            <w:tcW w:w="8082" w:type="dxa"/>
          </w:tcPr>
          <w:p w14:paraId="51E2A6EE" w14:textId="42CAF7F1" w:rsidR="00736BBE" w:rsidRPr="00F44671" w:rsidRDefault="00E330B6" w:rsidP="008758EE">
            <w:pPr>
              <w:pStyle w:val="TableText"/>
              <w:rPr>
                <w:rFonts w:ascii="Times" w:hAnsi="Times"/>
                <w:sz w:val="20"/>
                <w:szCs w:val="20"/>
              </w:rPr>
            </w:pPr>
            <w:r w:rsidRPr="00E330B6">
              <w:t xml:space="preserve">Produce clear and coherent writing in which the development, organization, and style are appropriate to task, purpose, and audience. </w:t>
            </w:r>
          </w:p>
        </w:tc>
      </w:tr>
      <w:tr w:rsidR="00E330B6" w:rsidRPr="002E6E78" w14:paraId="5AEBF71F" w14:textId="77777777" w:rsidTr="00E330B6">
        <w:tc>
          <w:tcPr>
            <w:tcW w:w="1268" w:type="dxa"/>
            <w:gridSpan w:val="2"/>
          </w:tcPr>
          <w:p w14:paraId="6B55E412" w14:textId="676D4E81" w:rsidR="00E330B6" w:rsidRPr="004E013C" w:rsidRDefault="00E330B6" w:rsidP="00E330B6">
            <w:r w:rsidRPr="004E013C">
              <w:t>W.11-12.9.a,</w:t>
            </w:r>
            <w:r w:rsidR="00044848">
              <w:t xml:space="preserve"> </w:t>
            </w:r>
            <w:r w:rsidRPr="004E013C">
              <w:t>b</w:t>
            </w:r>
          </w:p>
          <w:p w14:paraId="76869D82" w14:textId="77777777" w:rsidR="00E330B6" w:rsidRPr="004E013C" w:rsidRDefault="00E330B6" w:rsidP="00E330B6"/>
        </w:tc>
        <w:tc>
          <w:tcPr>
            <w:tcW w:w="8082" w:type="dxa"/>
          </w:tcPr>
          <w:p w14:paraId="629F8B01" w14:textId="77777777" w:rsidR="00AD4ACB" w:rsidRDefault="00E330B6" w:rsidP="00AD4ACB">
            <w:pPr>
              <w:pStyle w:val="TableText"/>
            </w:pPr>
            <w:r w:rsidRPr="00E330B6">
              <w:t>Draw evidence from literary or informational texts to support analysis, reflection, and research.</w:t>
            </w:r>
          </w:p>
          <w:p w14:paraId="4DEFE443" w14:textId="6DCC03E3" w:rsidR="00E330B6" w:rsidRPr="00AD4ACB" w:rsidRDefault="00E330B6" w:rsidP="00452AF8">
            <w:pPr>
              <w:pStyle w:val="TableText"/>
              <w:numPr>
                <w:ilvl w:val="0"/>
                <w:numId w:val="17"/>
              </w:numPr>
              <w:ind w:left="424"/>
              <w:rPr>
                <w:rFonts w:ascii="Times" w:hAnsi="Times"/>
                <w:sz w:val="20"/>
                <w:szCs w:val="20"/>
              </w:rPr>
            </w:pPr>
            <w:r w:rsidRPr="00E330B6">
              <w:t>Apply </w:t>
            </w:r>
            <w:r w:rsidRPr="00AD4ACB">
              <w:rPr>
                <w:i/>
              </w:rPr>
              <w:t>grades</w:t>
            </w:r>
            <w:r w:rsidRPr="00AD4ACB">
              <w:t xml:space="preserve"> </w:t>
            </w:r>
            <w:r w:rsidRPr="00AD4ACB">
              <w:rPr>
                <w:i/>
              </w:rPr>
              <w:t>11-12 Reading standards</w:t>
            </w:r>
            <w:r w:rsidRPr="00E330B6">
              <w:t> to literature (e.g., "Demonstrate knowledge of eighteenth-, nineteenth- and early-twentieth-century foundational works of American literature, including how two or more texts from the same period treat similar themes or topics").</w:t>
            </w:r>
          </w:p>
          <w:p w14:paraId="25557811" w14:textId="227C6A9B" w:rsidR="00E330B6" w:rsidRPr="00AD4ACB" w:rsidRDefault="00E330B6" w:rsidP="00452AF8">
            <w:pPr>
              <w:pStyle w:val="ListParagraph"/>
              <w:numPr>
                <w:ilvl w:val="0"/>
                <w:numId w:val="17"/>
              </w:numPr>
              <w:autoSpaceDE w:val="0"/>
              <w:autoSpaceDN w:val="0"/>
              <w:adjustRightInd w:val="0"/>
              <w:spacing w:before="0" w:after="0"/>
              <w:ind w:left="424"/>
              <w:rPr>
                <w:rFonts w:ascii="Times" w:hAnsi="Times"/>
                <w:sz w:val="20"/>
                <w:szCs w:val="20"/>
              </w:rPr>
            </w:pPr>
            <w:r w:rsidRPr="00E330B6">
              <w:t>Apply </w:t>
            </w:r>
            <w:r w:rsidRPr="00AD4ACB">
              <w:rPr>
                <w:i/>
              </w:rPr>
              <w:t>grades 11-12 Reading standards</w:t>
            </w:r>
            <w:r w:rsidRPr="00E330B6">
              <w:t>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AD4ACB">
              <w:rPr>
                <w:i/>
              </w:rPr>
              <w:t>The Federalist</w:t>
            </w:r>
            <w:r w:rsidRPr="00E330B6">
              <w:t>, presidential addresses]").</w:t>
            </w:r>
          </w:p>
        </w:tc>
      </w:tr>
      <w:tr w:rsidR="00736BBE" w:rsidRPr="002E6E78" w14:paraId="37F74C9C" w14:textId="77777777" w:rsidTr="00E330B6">
        <w:trPr>
          <w:trHeight w:val="368"/>
        </w:trPr>
        <w:tc>
          <w:tcPr>
            <w:tcW w:w="9350" w:type="dxa"/>
            <w:gridSpan w:val="3"/>
            <w:shd w:val="clear" w:color="auto" w:fill="1F497D" w:themeFill="text2"/>
          </w:tcPr>
          <w:p w14:paraId="29A19C56" w14:textId="77777777" w:rsidR="00736BBE" w:rsidRPr="002E6E78" w:rsidRDefault="00736BBE" w:rsidP="00E330B6">
            <w:pPr>
              <w:pStyle w:val="TableHeaders"/>
            </w:pPr>
            <w:r w:rsidRPr="002E6E78">
              <w:t>CCS Standards: Speaking &amp; Listening</w:t>
            </w:r>
          </w:p>
        </w:tc>
      </w:tr>
      <w:tr w:rsidR="00736BBE" w:rsidRPr="009551CD" w14:paraId="6B22A3F5" w14:textId="77777777" w:rsidTr="00E330B6">
        <w:tblPrEx>
          <w:tblCellMar>
            <w:left w:w="10" w:type="dxa"/>
            <w:right w:w="10" w:type="dxa"/>
          </w:tblCellMar>
          <w:tblLook w:val="00A0" w:firstRow="1" w:lastRow="0" w:firstColumn="1" w:lastColumn="0" w:noHBand="0" w:noVBand="0"/>
        </w:tblPrEx>
        <w:trPr>
          <w:trHeight w:val="19"/>
        </w:trPr>
        <w:tc>
          <w:tcPr>
            <w:tcW w:w="1260" w:type="dxa"/>
            <w:tcMar>
              <w:top w:w="100" w:type="dxa"/>
              <w:left w:w="108" w:type="dxa"/>
              <w:bottom w:w="100" w:type="dxa"/>
              <w:right w:w="108" w:type="dxa"/>
            </w:tcMar>
          </w:tcPr>
          <w:p w14:paraId="37E1086D" w14:textId="77777777" w:rsidR="00E330B6" w:rsidRPr="001B7154" w:rsidRDefault="00E330B6" w:rsidP="00E330B6">
            <w:r w:rsidRPr="004E013C">
              <w:t>SL.11-12.3</w:t>
            </w:r>
          </w:p>
          <w:p w14:paraId="2542CD72" w14:textId="77777777" w:rsidR="00736BBE" w:rsidRPr="0068281B" w:rsidDel="001047F1" w:rsidRDefault="00736BBE" w:rsidP="00E330B6">
            <w:pPr>
              <w:pStyle w:val="TableText"/>
            </w:pPr>
          </w:p>
        </w:tc>
        <w:tc>
          <w:tcPr>
            <w:tcW w:w="8090" w:type="dxa"/>
            <w:gridSpan w:val="2"/>
          </w:tcPr>
          <w:p w14:paraId="0ED060EA" w14:textId="636E41C9" w:rsidR="00736BBE" w:rsidRPr="009551CD" w:rsidDel="001047F1" w:rsidRDefault="009E6409" w:rsidP="00AD4ACB">
            <w:pPr>
              <w:pStyle w:val="TableText"/>
              <w:ind w:left="170"/>
            </w:pPr>
            <w:r w:rsidRPr="009551CD">
              <w:t>Evaluate a speaker's point of view, reasoning, and use of evidence and rhetoric, assessing the stance, premises, links among ideas, word choice, points of emphasis, and tone used</w:t>
            </w:r>
            <w:r w:rsidR="009551CD" w:rsidRPr="009551CD">
              <w:t>.</w:t>
            </w:r>
          </w:p>
        </w:tc>
      </w:tr>
      <w:tr w:rsidR="00736BBE" w:rsidRPr="002E6E78" w14:paraId="280E5913" w14:textId="77777777" w:rsidTr="00E330B6">
        <w:tc>
          <w:tcPr>
            <w:tcW w:w="9350" w:type="dxa"/>
            <w:gridSpan w:val="3"/>
            <w:shd w:val="clear" w:color="auto" w:fill="1F497D" w:themeFill="text2"/>
          </w:tcPr>
          <w:p w14:paraId="2AF8DBA0" w14:textId="77777777" w:rsidR="00736BBE" w:rsidRPr="002E6E78" w:rsidRDefault="00736BBE" w:rsidP="00AD4ACB">
            <w:pPr>
              <w:pStyle w:val="TableHeaders"/>
              <w:keepNext/>
            </w:pPr>
            <w:r w:rsidRPr="002E6E78">
              <w:lastRenderedPageBreak/>
              <w:t>CCS Standards: Language</w:t>
            </w:r>
          </w:p>
        </w:tc>
      </w:tr>
      <w:tr w:rsidR="00736BBE" w:rsidRPr="00A134F2" w14:paraId="4E01C7A9" w14:textId="77777777" w:rsidTr="00077E34">
        <w:tc>
          <w:tcPr>
            <w:tcW w:w="1260" w:type="dxa"/>
          </w:tcPr>
          <w:p w14:paraId="120FD94B" w14:textId="77777777" w:rsidR="00E330B6" w:rsidRPr="001B7154" w:rsidRDefault="00E330B6" w:rsidP="00E330B6">
            <w:r w:rsidRPr="001B7154">
              <w:t>L.11-12.3.a</w:t>
            </w:r>
          </w:p>
          <w:p w14:paraId="497C0079" w14:textId="77777777" w:rsidR="00736BBE" w:rsidRPr="00A134F2" w:rsidRDefault="00736BBE" w:rsidP="00E330B6">
            <w:pPr>
              <w:pStyle w:val="TableText"/>
            </w:pPr>
          </w:p>
        </w:tc>
        <w:tc>
          <w:tcPr>
            <w:tcW w:w="8090" w:type="dxa"/>
            <w:gridSpan w:val="2"/>
          </w:tcPr>
          <w:p w14:paraId="7FF2EC22" w14:textId="77777777" w:rsidR="009E6409" w:rsidRPr="009E6409" w:rsidRDefault="009E6409" w:rsidP="00F44671">
            <w:pPr>
              <w:pStyle w:val="TableText"/>
              <w:rPr>
                <w:rFonts w:ascii="Times" w:hAnsi="Times"/>
                <w:sz w:val="20"/>
                <w:szCs w:val="20"/>
              </w:rPr>
            </w:pPr>
            <w:r w:rsidRPr="009E6409">
              <w:t>Apply knowledge of language to understand how language functions in different contexts, to make effective choices for meaning or style, and to comprehend more fully when reading or listening.</w:t>
            </w:r>
          </w:p>
          <w:p w14:paraId="352B023E" w14:textId="33995EDA" w:rsidR="00736BBE" w:rsidRPr="00F44671" w:rsidRDefault="009E6409" w:rsidP="00452AF8">
            <w:pPr>
              <w:pStyle w:val="TableText"/>
              <w:numPr>
                <w:ilvl w:val="0"/>
                <w:numId w:val="18"/>
              </w:numPr>
              <w:ind w:left="342"/>
              <w:rPr>
                <w:rFonts w:ascii="Times" w:hAnsi="Times"/>
                <w:sz w:val="20"/>
                <w:szCs w:val="20"/>
              </w:rPr>
            </w:pPr>
            <w:r w:rsidRPr="009E6409">
              <w:t>Vary syntax for effect, consulting references (e.g., Tufte's </w:t>
            </w:r>
            <w:r w:rsidRPr="009E6409">
              <w:rPr>
                <w:i/>
                <w:iCs/>
              </w:rPr>
              <w:t>Artful Sentences</w:t>
            </w:r>
            <w:r w:rsidRPr="009E6409">
              <w:t>) for guidance as needed; apply an understanding of syntax to the study of complex texts when reading.</w:t>
            </w:r>
          </w:p>
        </w:tc>
      </w:tr>
      <w:tr w:rsidR="00077E34" w:rsidRPr="00A134F2" w14:paraId="732AEB5D" w14:textId="77777777" w:rsidTr="00077E34">
        <w:tc>
          <w:tcPr>
            <w:tcW w:w="1260" w:type="dxa"/>
          </w:tcPr>
          <w:p w14:paraId="2ABB681B" w14:textId="0901C590" w:rsidR="00077E34" w:rsidRPr="001B7154" w:rsidRDefault="00077E34" w:rsidP="00E330B6">
            <w:r>
              <w:t>L.11-12.4.a</w:t>
            </w:r>
            <w:r w:rsidR="001E4E77">
              <w:t>, b</w:t>
            </w:r>
          </w:p>
        </w:tc>
        <w:tc>
          <w:tcPr>
            <w:tcW w:w="8090" w:type="dxa"/>
            <w:gridSpan w:val="2"/>
          </w:tcPr>
          <w:p w14:paraId="0B690CF8" w14:textId="6391A7F3" w:rsidR="00077E34" w:rsidRPr="001E4E77" w:rsidRDefault="00077E34" w:rsidP="001E4E77">
            <w:pPr>
              <w:pStyle w:val="TableText"/>
            </w:pPr>
            <w:r w:rsidRPr="00077E34">
              <w:t>Determine or clarify the meaning of unknown and multiple-meaning words and phrases based on </w:t>
            </w:r>
            <w:r w:rsidRPr="00077E34">
              <w:rPr>
                <w:i/>
                <w:iCs/>
              </w:rPr>
              <w:t>grades 11-12 reading and content</w:t>
            </w:r>
            <w:r w:rsidRPr="00077E34">
              <w:t>, choosing flexibly from a range of strategies.</w:t>
            </w:r>
          </w:p>
          <w:p w14:paraId="582335D2" w14:textId="43C7799A" w:rsidR="00077E34" w:rsidRPr="00AD4ACB" w:rsidRDefault="00077E34" w:rsidP="00452AF8">
            <w:pPr>
              <w:pStyle w:val="TableText"/>
              <w:numPr>
                <w:ilvl w:val="0"/>
                <w:numId w:val="19"/>
              </w:numPr>
              <w:ind w:left="432"/>
            </w:pPr>
            <w:r w:rsidRPr="00077E34">
              <w:t>Use context (e.g., the overall meaning of a sentence, paragraph, or text; a word's position or function in a sentence) as a clue to the meaning of a word or phrase</w:t>
            </w:r>
            <w:r w:rsidR="009551CD">
              <w:t>.</w:t>
            </w:r>
          </w:p>
          <w:p w14:paraId="7295AD6C" w14:textId="47A43B11" w:rsidR="00077E34" w:rsidRPr="009E6409" w:rsidRDefault="001E4E77" w:rsidP="00452AF8">
            <w:pPr>
              <w:pStyle w:val="TableText"/>
              <w:numPr>
                <w:ilvl w:val="0"/>
                <w:numId w:val="19"/>
              </w:numPr>
              <w:ind w:left="432"/>
            </w:pPr>
            <w:r w:rsidRPr="001E4E77">
              <w:t>Identify and correctly use patterns of word changes that indicate different meanings or parts of speech (e.g., </w:t>
            </w:r>
            <w:r w:rsidRPr="001E4E77">
              <w:rPr>
                <w:i/>
                <w:iCs/>
              </w:rPr>
              <w:t>conceive, conception, conceivable</w:t>
            </w:r>
            <w:r w:rsidRPr="001E4E77">
              <w:t>).</w:t>
            </w:r>
          </w:p>
        </w:tc>
      </w:tr>
    </w:tbl>
    <w:p w14:paraId="7B5B72A6" w14:textId="04293451" w:rsidR="00DB0103" w:rsidRDefault="00257517" w:rsidP="00B7429D">
      <w:pPr>
        <w:pStyle w:val="Heading1"/>
        <w:keepNext w:val="0"/>
        <w:pageBreakBefore/>
      </w:pPr>
      <w:r>
        <w:lastRenderedPageBreak/>
        <w:t xml:space="preserve">Module Performance </w:t>
      </w:r>
      <w:r w:rsidR="00736BBE">
        <w:t>Assessment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90631D" w:rsidRPr="002E6E78" w14:paraId="033E8D39" w14:textId="77777777" w:rsidTr="00F4200F">
        <w:tc>
          <w:tcPr>
            <w:tcW w:w="9350" w:type="dxa"/>
            <w:shd w:val="clear" w:color="auto" w:fill="1F497D" w:themeFill="text2"/>
          </w:tcPr>
          <w:p w14:paraId="7E4A4B7A" w14:textId="77777777" w:rsidR="0090631D" w:rsidRPr="002E6E78" w:rsidRDefault="0090631D" w:rsidP="004F18FC">
            <w:pPr>
              <w:pStyle w:val="TableHeaders"/>
            </w:pPr>
            <w:r>
              <w:t xml:space="preserve">Prompt </w:t>
            </w:r>
          </w:p>
        </w:tc>
      </w:tr>
      <w:tr w:rsidR="00F603BA" w:rsidRPr="0077520C" w:rsidDel="001047F1" w14:paraId="51BFFA70" w14:textId="77777777" w:rsidTr="00F603BA">
        <w:tblPrEx>
          <w:tblCellMar>
            <w:left w:w="10" w:type="dxa"/>
            <w:right w:w="10" w:type="dxa"/>
          </w:tblCellMar>
          <w:tblLook w:val="00A0" w:firstRow="1" w:lastRow="0" w:firstColumn="1" w:lastColumn="0" w:noHBand="0" w:noVBand="0"/>
        </w:tblPrEx>
        <w:trPr>
          <w:trHeight w:val="19"/>
        </w:trPr>
        <w:tc>
          <w:tcPr>
            <w:tcW w:w="93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84FCE8" w14:textId="77777777" w:rsidR="00F603BA" w:rsidRDefault="00F603BA" w:rsidP="00AD4ACB">
            <w:pPr>
              <w:pStyle w:val="TableText"/>
            </w:pPr>
            <w:r w:rsidRPr="0090631D">
              <w:t xml:space="preserve">In this </w:t>
            </w:r>
            <w:r>
              <w:t>two</w:t>
            </w:r>
            <w:r w:rsidRPr="0090631D">
              <w:t xml:space="preserve">-day performance task, students </w:t>
            </w:r>
            <w:r>
              <w:t>develop and present a claim in response to the</w:t>
            </w:r>
            <w:r w:rsidRPr="0090631D">
              <w:t xml:space="preserve"> following prompt:</w:t>
            </w:r>
          </w:p>
          <w:p w14:paraId="017A73FA" w14:textId="0DE73D01" w:rsidR="00F603BA" w:rsidRPr="0077520C" w:rsidDel="001047F1" w:rsidRDefault="00F603BA" w:rsidP="0044161E">
            <w:pPr>
              <w:pStyle w:val="Q"/>
            </w:pPr>
            <w:r>
              <w:t xml:space="preserve">Develop and present a claim about how Sherman Alexie’s poem “How to Write the Great American Indian Novel” relates to central ideas and/or points of view developed in at least two of the four texts in this module. Support your claim with evidence and reasoning.  </w:t>
            </w:r>
          </w:p>
        </w:tc>
      </w:tr>
      <w:tr w:rsidR="00F603BA" w14:paraId="4BF09FAC" w14:textId="77777777" w:rsidTr="00AD4ACB">
        <w:tblPrEx>
          <w:tblCellMar>
            <w:left w:w="10" w:type="dxa"/>
            <w:right w:w="10" w:type="dxa"/>
          </w:tblCellMar>
          <w:tblLook w:val="00A0" w:firstRow="1" w:lastRow="0" w:firstColumn="1" w:lastColumn="0" w:noHBand="0" w:noVBand="0"/>
        </w:tblPrEx>
        <w:trPr>
          <w:trHeight w:val="232"/>
        </w:trPr>
        <w:tc>
          <w:tcPr>
            <w:tcW w:w="935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00" w:type="dxa"/>
              <w:left w:w="108" w:type="dxa"/>
              <w:bottom w:w="100" w:type="dxa"/>
              <w:right w:w="108" w:type="dxa"/>
            </w:tcMar>
          </w:tcPr>
          <w:p w14:paraId="4CF77281" w14:textId="77777777" w:rsidR="00F603BA" w:rsidRPr="00A239CF" w:rsidRDefault="00F603BA" w:rsidP="00AD4ACB">
            <w:pPr>
              <w:spacing w:before="0" w:after="0"/>
              <w:rPr>
                <w:b/>
                <w:color w:val="FFFFFF" w:themeColor="background1"/>
              </w:rPr>
            </w:pPr>
            <w:r w:rsidRPr="00A239CF">
              <w:rPr>
                <w:b/>
                <w:color w:val="FFFFFF" w:themeColor="background1"/>
              </w:rPr>
              <w:t>Lesson 1</w:t>
            </w:r>
          </w:p>
        </w:tc>
      </w:tr>
      <w:tr w:rsidR="00F603BA" w14:paraId="1859CE09" w14:textId="77777777" w:rsidTr="00F603BA">
        <w:tblPrEx>
          <w:tblCellMar>
            <w:left w:w="10" w:type="dxa"/>
            <w:right w:w="10" w:type="dxa"/>
          </w:tblCellMar>
          <w:tblLook w:val="00A0" w:firstRow="1" w:lastRow="0" w:firstColumn="1" w:lastColumn="0" w:noHBand="0" w:noVBand="0"/>
        </w:tblPrEx>
        <w:trPr>
          <w:trHeight w:val="19"/>
        </w:trPr>
        <w:tc>
          <w:tcPr>
            <w:tcW w:w="93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92A5708" w14:textId="035F2064" w:rsidR="00F603BA" w:rsidRDefault="008873D9" w:rsidP="00197B59">
            <w:pPr>
              <w:pStyle w:val="TableText"/>
            </w:pPr>
            <w:r>
              <w:t>Students</w:t>
            </w:r>
            <w:r w:rsidRPr="00461545">
              <w:t xml:space="preserve"> </w:t>
            </w:r>
            <w:r w:rsidR="00596F95">
              <w:t>re</w:t>
            </w:r>
            <w:r w:rsidR="00C03090">
              <w:t xml:space="preserve">read and annotate </w:t>
            </w:r>
            <w:r w:rsidR="00E46BA9">
              <w:t xml:space="preserve">Sherman Alexie’s </w:t>
            </w:r>
            <w:r w:rsidR="00C03090">
              <w:t xml:space="preserve">“How to Write the Great American Indian Novel,” </w:t>
            </w:r>
            <w:r w:rsidR="00C03090" w:rsidRPr="00BD4185">
              <w:t xml:space="preserve">considering how the poem </w:t>
            </w:r>
            <w:r w:rsidR="00C03090">
              <w:t>relates to</w:t>
            </w:r>
            <w:r w:rsidR="00C03090" w:rsidRPr="00BD4185">
              <w:t xml:space="preserve"> the other module texts.</w:t>
            </w:r>
            <w:r w:rsidR="00C03090">
              <w:t xml:space="preserve"> Next, students r</w:t>
            </w:r>
            <w:r w:rsidRPr="00BD4185">
              <w:t>eview</w:t>
            </w:r>
            <w:r w:rsidR="00C03090">
              <w:t xml:space="preserve"> </w:t>
            </w:r>
            <w:r w:rsidRPr="00BD4185">
              <w:t xml:space="preserve">their notes, annotations, and any tracking tools associated with the four texts </w:t>
            </w:r>
            <w:r>
              <w:t xml:space="preserve">that </w:t>
            </w:r>
            <w:r w:rsidRPr="00461545">
              <w:t xml:space="preserve">they analyzed in this module, paying particular attention to statements they have made about how the author of each text </w:t>
            </w:r>
            <w:r>
              <w:t xml:space="preserve">develops central ideas and </w:t>
            </w:r>
            <w:r w:rsidRPr="00461545">
              <w:t>advances his or her point of view</w:t>
            </w:r>
            <w:r w:rsidRPr="00461545">
              <w:rPr>
                <w:rStyle w:val="TableTextChar"/>
              </w:rPr>
              <w:t>.</w:t>
            </w:r>
            <w:r>
              <w:t xml:space="preserve"> </w:t>
            </w:r>
            <w:r w:rsidR="00023460">
              <w:t>Finally, s</w:t>
            </w:r>
            <w:r w:rsidR="00C03090">
              <w:t>tudents</w:t>
            </w:r>
            <w:r w:rsidR="00023460">
              <w:t xml:space="preserve"> prepare for the evidence</w:t>
            </w:r>
            <w:r w:rsidR="00197B59">
              <w:t>-</w:t>
            </w:r>
            <w:r w:rsidR="00023460">
              <w:t>based discussion in the next lesson by</w:t>
            </w:r>
            <w:r w:rsidR="00C03090">
              <w:t xml:space="preserve"> develop</w:t>
            </w:r>
            <w:r w:rsidR="00023460">
              <w:t>ing</w:t>
            </w:r>
            <w:r w:rsidRPr="00461545">
              <w:t xml:space="preserve"> several claims about how </w:t>
            </w:r>
            <w:r>
              <w:t>“How to Write the Great American Indian Novel”</w:t>
            </w:r>
            <w:r w:rsidRPr="00461545">
              <w:t xml:space="preserve"> is related to at least two of the other module texts. </w:t>
            </w:r>
          </w:p>
        </w:tc>
      </w:tr>
      <w:tr w:rsidR="00F603BA" w14:paraId="261FA2F8" w14:textId="77777777" w:rsidTr="00F603BA">
        <w:tblPrEx>
          <w:tblCellMar>
            <w:left w:w="10" w:type="dxa"/>
            <w:right w:w="10" w:type="dxa"/>
          </w:tblCellMar>
          <w:tblLook w:val="00A0" w:firstRow="1" w:lastRow="0" w:firstColumn="1" w:lastColumn="0" w:noHBand="0" w:noVBand="0"/>
        </w:tblPrEx>
        <w:trPr>
          <w:trHeight w:val="19"/>
        </w:trPr>
        <w:tc>
          <w:tcPr>
            <w:tcW w:w="935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00" w:type="dxa"/>
              <w:left w:w="108" w:type="dxa"/>
              <w:bottom w:w="100" w:type="dxa"/>
              <w:right w:w="108" w:type="dxa"/>
            </w:tcMar>
          </w:tcPr>
          <w:p w14:paraId="4841F9F9" w14:textId="77777777" w:rsidR="00F603BA" w:rsidRPr="00A239CF" w:rsidRDefault="00F603BA" w:rsidP="00AD4ACB">
            <w:pPr>
              <w:spacing w:before="0" w:after="0"/>
              <w:rPr>
                <w:b/>
                <w:color w:val="FFFFFF" w:themeColor="background1"/>
              </w:rPr>
            </w:pPr>
            <w:r w:rsidRPr="00A239CF">
              <w:rPr>
                <w:b/>
                <w:color w:val="FFFFFF" w:themeColor="background1"/>
              </w:rPr>
              <w:t>Lesson 2</w:t>
            </w:r>
          </w:p>
        </w:tc>
      </w:tr>
      <w:tr w:rsidR="00F603BA" w14:paraId="0E720031" w14:textId="77777777" w:rsidTr="00F603BA">
        <w:tblPrEx>
          <w:tblCellMar>
            <w:left w:w="10" w:type="dxa"/>
            <w:right w:w="10" w:type="dxa"/>
          </w:tblCellMar>
          <w:tblLook w:val="00A0" w:firstRow="1" w:lastRow="0" w:firstColumn="1" w:lastColumn="0" w:noHBand="0" w:noVBand="0"/>
        </w:tblPrEx>
        <w:trPr>
          <w:trHeight w:val="19"/>
        </w:trPr>
        <w:tc>
          <w:tcPr>
            <w:tcW w:w="93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6BBD1F2" w14:textId="31460CFF" w:rsidR="00F603BA" w:rsidRDefault="00C03090" w:rsidP="009551CD">
            <w:pPr>
              <w:pStyle w:val="TableText"/>
            </w:pPr>
            <w:r>
              <w:t>Students</w:t>
            </w:r>
            <w:r w:rsidR="008873D9">
              <w:t xml:space="preserve"> form pairs, </w:t>
            </w:r>
            <w:r w:rsidR="00844F82">
              <w:t xml:space="preserve">and </w:t>
            </w:r>
            <w:r w:rsidR="008873D9">
              <w:t xml:space="preserve">collaboratively refine the </w:t>
            </w:r>
            <w:r w:rsidR="00844F82">
              <w:t xml:space="preserve">claims and supporting evidence about which they are most unsure, </w:t>
            </w:r>
            <w:r w:rsidR="008873D9">
              <w:t>selecting more relevant evidence if necessary</w:t>
            </w:r>
            <w:r w:rsidR="00844F82">
              <w:t>. S</w:t>
            </w:r>
            <w:r w:rsidR="00E46BA9">
              <w:t>tudents</w:t>
            </w:r>
            <w:r w:rsidR="00844F82">
              <w:t xml:space="preserve"> form groups of 3-4 and</w:t>
            </w:r>
            <w:r w:rsidR="00E46BA9">
              <w:t xml:space="preserve"> engage in an evidence </w:t>
            </w:r>
            <w:r w:rsidR="008873D9" w:rsidRPr="00461545">
              <w:t>evidence-based discussion</w:t>
            </w:r>
            <w:r w:rsidR="00023460">
              <w:t xml:space="preserve">, in which each student shares </w:t>
            </w:r>
            <w:r w:rsidR="00023460" w:rsidRPr="00461545">
              <w:t xml:space="preserve">at least one claim about how </w:t>
            </w:r>
            <w:r w:rsidR="00023460">
              <w:t xml:space="preserve">Alexie’s “How to Write the Great American Indian Novel” relates to a central idea or point of view in </w:t>
            </w:r>
            <w:r w:rsidR="00023460" w:rsidRPr="00461545">
              <w:t>two of the other module texts,</w:t>
            </w:r>
            <w:r w:rsidR="00023460">
              <w:t xml:space="preserve"> using</w:t>
            </w:r>
            <w:r w:rsidR="00023460" w:rsidRPr="00461545">
              <w:t xml:space="preserve"> multiple pieces of text evidence for support.</w:t>
            </w:r>
            <w:r w:rsidR="00023460">
              <w:t xml:space="preserve"> Other students assess the presenter using their 11.2 Performance Assessment Text Analysis Rubric and Checklist.</w:t>
            </w:r>
            <w:r w:rsidR="00E46BA9">
              <w:t xml:space="preserve"> After each</w:t>
            </w:r>
            <w:r w:rsidR="00023460">
              <w:t xml:space="preserve"> presentation, group members</w:t>
            </w:r>
            <w:r w:rsidR="00023460" w:rsidRPr="00461545">
              <w:t xml:space="preserve"> engage the student presenter in discussion about the presenter’s</w:t>
            </w:r>
            <w:r w:rsidR="00023460">
              <w:t xml:space="preserve"> claims and evidence using their own claims and evidence as entry points. At the end of class, all students assess their own presentations using th</w:t>
            </w:r>
            <w:r w:rsidR="00844F82">
              <w:t>e</w:t>
            </w:r>
            <w:r w:rsidR="00044848">
              <w:t xml:space="preserve"> 11.2 Text </w:t>
            </w:r>
            <w:r w:rsidR="00023460">
              <w:t>Analysis Rubric and Checklist</w:t>
            </w:r>
            <w:r w:rsidR="00E46BA9">
              <w:t xml:space="preserve">. </w:t>
            </w:r>
          </w:p>
        </w:tc>
      </w:tr>
    </w:tbl>
    <w:p w14:paraId="6B316509" w14:textId="61F5A7B8" w:rsidR="00BD2A39" w:rsidRPr="002E6E78" w:rsidRDefault="00BD2A39" w:rsidP="00BD2A39">
      <w:pPr>
        <w:pStyle w:val="Heading1"/>
        <w:rPr>
          <w:rFonts w:ascii="Calibri" w:hAnsi="Calibri"/>
        </w:rPr>
      </w:pPr>
      <w:r w:rsidRPr="002E6E78">
        <w:rPr>
          <w:rFonts w:ascii="Calibri" w:hAnsi="Calibri"/>
        </w:rPr>
        <w:lastRenderedPageBreak/>
        <w:t>Texts/Media</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468"/>
      </w:tblGrid>
      <w:tr w:rsidR="00BD2A39" w:rsidRPr="002E6E78" w14:paraId="0824AC56" w14:textId="77777777" w:rsidTr="000B2DCA">
        <w:tc>
          <w:tcPr>
            <w:tcW w:w="9468" w:type="dxa"/>
            <w:shd w:val="clear" w:color="auto" w:fill="365F91"/>
          </w:tcPr>
          <w:p w14:paraId="60FDEAC7" w14:textId="41EA4EC5" w:rsidR="00BD2A39" w:rsidRPr="00574BC9" w:rsidRDefault="00BD2A39" w:rsidP="00AD4ACB">
            <w:pPr>
              <w:keepNext/>
              <w:spacing w:before="40" w:after="40"/>
              <w:rPr>
                <w:b/>
                <w:color w:val="FFFFFF"/>
              </w:rPr>
            </w:pPr>
            <w:r w:rsidRPr="00574BC9">
              <w:rPr>
                <w:b/>
                <w:color w:val="FFFFFF"/>
              </w:rPr>
              <w:t xml:space="preserve">Unit 1: </w:t>
            </w:r>
            <w:r w:rsidRPr="00574BC9">
              <w:rPr>
                <w:b/>
                <w:color w:val="FFFFFF" w:themeColor="background1"/>
              </w:rPr>
              <w:t>“He began to have a dim feeling that, to attain his place in the world, he must be himself, and not another.”</w:t>
            </w:r>
          </w:p>
        </w:tc>
      </w:tr>
      <w:tr w:rsidR="00BD2A39" w:rsidRPr="002E6E78" w14:paraId="0DF47232" w14:textId="77777777" w:rsidTr="000B2DCA">
        <w:tc>
          <w:tcPr>
            <w:tcW w:w="9468" w:type="dxa"/>
          </w:tcPr>
          <w:p w14:paraId="01F42322" w14:textId="7E81DAC0" w:rsidR="00BD2A39" w:rsidRPr="00702FB0" w:rsidRDefault="002363FD" w:rsidP="00AD4ACB">
            <w:pPr>
              <w:pStyle w:val="ToolTableText"/>
            </w:pPr>
            <w:r>
              <w:t xml:space="preserve">Du Bois, W.E.B. </w:t>
            </w:r>
            <w:r w:rsidR="00844F82">
              <w:t xml:space="preserve">“Of Our Spiritual Strivings.” </w:t>
            </w:r>
            <w:r w:rsidRPr="00F44671">
              <w:rPr>
                <w:i/>
              </w:rPr>
              <w:t>The Souls of Black Folk</w:t>
            </w:r>
            <w:r>
              <w:rPr>
                <w:i/>
              </w:rPr>
              <w:t>.</w:t>
            </w:r>
            <w:r w:rsidR="00702FB0">
              <w:rPr>
                <w:i/>
              </w:rPr>
              <w:t xml:space="preserve"> </w:t>
            </w:r>
            <w:r w:rsidR="009551CD">
              <w:t>1903</w:t>
            </w:r>
            <w:r w:rsidR="0044161E">
              <w:t>.</w:t>
            </w:r>
          </w:p>
        </w:tc>
      </w:tr>
      <w:tr w:rsidR="006F01AB" w:rsidRPr="002E6E78" w14:paraId="22FA4650" w14:textId="77777777" w:rsidTr="000B2DCA">
        <w:tc>
          <w:tcPr>
            <w:tcW w:w="9468" w:type="dxa"/>
          </w:tcPr>
          <w:p w14:paraId="5132BFF0" w14:textId="64D94C85" w:rsidR="006F01AB" w:rsidRDefault="002363FD" w:rsidP="00AD4ACB">
            <w:pPr>
              <w:pStyle w:val="TableText"/>
            </w:pPr>
            <w:r>
              <w:t xml:space="preserve">Washington, Booker T. </w:t>
            </w:r>
            <w:r w:rsidR="006F01AB">
              <w:t>“Atlanta Compromise Speech</w:t>
            </w:r>
            <w:r>
              <w:t>.</w:t>
            </w:r>
            <w:r w:rsidR="006F01AB">
              <w:t xml:space="preserve">” </w:t>
            </w:r>
            <w:r w:rsidR="0044161E">
              <w:t>1895.</w:t>
            </w:r>
          </w:p>
        </w:tc>
      </w:tr>
      <w:tr w:rsidR="00BD2A39" w:rsidRPr="002E6E78" w14:paraId="6E820C9A" w14:textId="77777777" w:rsidTr="000B2DCA">
        <w:tc>
          <w:tcPr>
            <w:tcW w:w="9468" w:type="dxa"/>
            <w:shd w:val="clear" w:color="auto" w:fill="365F91"/>
          </w:tcPr>
          <w:p w14:paraId="75CDAD66" w14:textId="5BE85565" w:rsidR="00BD2A39" w:rsidRPr="00044076" w:rsidRDefault="00BD2A39" w:rsidP="00AD4ACB">
            <w:pPr>
              <w:spacing w:before="40" w:after="40"/>
              <w:rPr>
                <w:rFonts w:asciiTheme="minorHAnsi" w:hAnsiTheme="minorHAnsi"/>
                <w:b/>
                <w:color w:val="FFFFFF"/>
              </w:rPr>
            </w:pPr>
            <w:r w:rsidRPr="00044076">
              <w:rPr>
                <w:rFonts w:asciiTheme="minorHAnsi" w:hAnsiTheme="minorHAnsi"/>
                <w:b/>
                <w:color w:val="FFFFFF"/>
              </w:rPr>
              <w:t xml:space="preserve">Unit 2: </w:t>
            </w:r>
            <w:r w:rsidRPr="00044076">
              <w:rPr>
                <w:rFonts w:asciiTheme="minorHAnsi" w:hAnsiTheme="minorHAnsi"/>
                <w:b/>
                <w:color w:val="FFFFFF" w:themeColor="background1"/>
              </w:rPr>
              <w:t>“I am / the sun and moon and forever hungry”</w:t>
            </w:r>
          </w:p>
        </w:tc>
      </w:tr>
      <w:tr w:rsidR="00BD2A39" w:rsidRPr="002E6E78" w14:paraId="0912621D" w14:textId="77777777" w:rsidTr="000B2DCA">
        <w:tc>
          <w:tcPr>
            <w:tcW w:w="9468" w:type="dxa"/>
          </w:tcPr>
          <w:p w14:paraId="0E2A552D" w14:textId="47E17D8A" w:rsidR="00BD2A39" w:rsidRPr="00F44671" w:rsidRDefault="002363FD" w:rsidP="00AD4ACB">
            <w:pPr>
              <w:pStyle w:val="TableText"/>
              <w:rPr>
                <w:rFonts w:asciiTheme="majorHAnsi" w:hAnsiTheme="majorHAnsi"/>
              </w:rPr>
            </w:pPr>
            <w:r>
              <w:t xml:space="preserve">Lorde, Audre. </w:t>
            </w:r>
            <w:r w:rsidR="0044161E" w:rsidRPr="0044161E">
              <w:t>“</w:t>
            </w:r>
            <w:r w:rsidR="006F01AB" w:rsidRPr="0044161E">
              <w:t>From the House of Yemanj</w:t>
            </w:r>
            <w:r w:rsidR="00702FB0" w:rsidRPr="0044161E">
              <w:t>á</w:t>
            </w:r>
            <w:r w:rsidR="00044076">
              <w:t>.</w:t>
            </w:r>
            <w:r w:rsidR="0044161E" w:rsidRPr="0044161E">
              <w:t>”</w:t>
            </w:r>
            <w:r w:rsidR="0044161E">
              <w:t xml:space="preserve"> 1997</w:t>
            </w:r>
            <w:r w:rsidR="00844F82">
              <w:t xml:space="preserve">. </w:t>
            </w:r>
            <w:hyperlink r:id="rId8" w:history="1">
              <w:r w:rsidR="00844F82" w:rsidRPr="000E6F64">
                <w:rPr>
                  <w:rStyle w:val="Hyperlink"/>
                </w:rPr>
                <w:t>http://www.poetryfoundation.org/poem/171286</w:t>
              </w:r>
            </w:hyperlink>
            <w:r w:rsidR="00AD4ACB" w:rsidRPr="00AD4ACB">
              <w:rPr>
                <w:rStyle w:val="Hyperlink"/>
                <w:color w:val="auto"/>
                <w:u w:val="none"/>
              </w:rPr>
              <w:t>.</w:t>
            </w:r>
            <w:r w:rsidR="00844F82">
              <w:t xml:space="preserve"> </w:t>
            </w:r>
          </w:p>
        </w:tc>
      </w:tr>
      <w:tr w:rsidR="00536F45" w:rsidRPr="002E6E78" w14:paraId="1A304291" w14:textId="77777777" w:rsidTr="000B2DCA">
        <w:tc>
          <w:tcPr>
            <w:tcW w:w="9468" w:type="dxa"/>
          </w:tcPr>
          <w:p w14:paraId="0CD67417" w14:textId="56769536" w:rsidR="00536F45" w:rsidRDefault="0044161E" w:rsidP="00AD4ACB">
            <w:pPr>
              <w:pStyle w:val="TableText"/>
            </w:pPr>
            <w:r>
              <w:t xml:space="preserve">Cady Stanton, Elizabeth. </w:t>
            </w:r>
            <w:r w:rsidR="00536F45">
              <w:t>“An Address by Elizabeth Cady Stanton</w:t>
            </w:r>
            <w:r>
              <w:t>.” 1848</w:t>
            </w:r>
            <w:r w:rsidR="00044076">
              <w:t>.</w:t>
            </w:r>
          </w:p>
        </w:tc>
      </w:tr>
      <w:tr w:rsidR="00E46BA9" w:rsidRPr="002E6E78" w14:paraId="46E6BD3D" w14:textId="77777777" w:rsidTr="00044076">
        <w:tc>
          <w:tcPr>
            <w:tcW w:w="9468" w:type="dxa"/>
            <w:shd w:val="clear" w:color="auto" w:fill="365F91"/>
          </w:tcPr>
          <w:p w14:paraId="214A9FF2" w14:textId="55358FE2" w:rsidR="00E46BA9" w:rsidRPr="00044076" w:rsidRDefault="00536F45" w:rsidP="00AD4ACB">
            <w:pPr>
              <w:pStyle w:val="Normal1"/>
              <w:spacing w:before="40" w:after="40" w:line="276" w:lineRule="auto"/>
              <w:rPr>
                <w:color w:val="FFFFFF" w:themeColor="background1"/>
              </w:rPr>
            </w:pPr>
            <w:r w:rsidRPr="00044076">
              <w:rPr>
                <w:b/>
                <w:color w:val="FFFFFF" w:themeColor="background1"/>
              </w:rPr>
              <w:t>Performance Assessment</w:t>
            </w:r>
          </w:p>
        </w:tc>
      </w:tr>
      <w:tr w:rsidR="00E46BA9" w:rsidRPr="002E6E78" w14:paraId="20697D9E" w14:textId="77777777" w:rsidTr="000B2DCA">
        <w:tc>
          <w:tcPr>
            <w:tcW w:w="9468" w:type="dxa"/>
          </w:tcPr>
          <w:p w14:paraId="585DC55E" w14:textId="7096953E" w:rsidR="00E46BA9" w:rsidRDefault="00E46BA9" w:rsidP="00AD4ACB">
            <w:pPr>
              <w:pStyle w:val="TableText"/>
              <w:rPr>
                <w:b/>
                <w:color w:val="FFFFFF"/>
              </w:rPr>
            </w:pPr>
            <w:r>
              <w:t>Alexie, Sherman. “How to Write the Great American Indian Novel</w:t>
            </w:r>
            <w:r w:rsidR="0044161E">
              <w:t>.</w:t>
            </w:r>
            <w:r>
              <w:t xml:space="preserve">” </w:t>
            </w:r>
            <w:r w:rsidR="0044161E">
              <w:t>1996.</w:t>
            </w:r>
            <w:r w:rsidR="009E3241">
              <w:t xml:space="preserve"> </w:t>
            </w:r>
            <w:hyperlink r:id="rId9" w:history="1">
              <w:r w:rsidR="00844F82" w:rsidRPr="000E6F64">
                <w:rPr>
                  <w:rStyle w:val="Hyperlink"/>
                </w:rPr>
                <w:t>http://www.poetryfoundation.org/poem/237270</w:t>
              </w:r>
            </w:hyperlink>
            <w:r w:rsidR="00AD4ACB">
              <w:t>.</w:t>
            </w:r>
          </w:p>
        </w:tc>
      </w:tr>
    </w:tbl>
    <w:p w14:paraId="4408D934" w14:textId="00C042BF" w:rsidR="00833F25" w:rsidRPr="002E6E78" w:rsidRDefault="00833F25" w:rsidP="00833F25">
      <w:pPr>
        <w:pStyle w:val="Heading1"/>
        <w:rPr>
          <w:rFonts w:ascii="Calibri" w:hAnsi="Calibri"/>
        </w:rPr>
      </w:pPr>
      <w:r w:rsidRPr="002E6E78">
        <w:rPr>
          <w:rFonts w:ascii="Calibri" w:hAnsi="Calibri"/>
        </w:rPr>
        <w:t>Module-at-a-Glance Calendar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9"/>
        <w:gridCol w:w="990"/>
        <w:gridCol w:w="2790"/>
        <w:gridCol w:w="1531"/>
        <w:gridCol w:w="2430"/>
      </w:tblGrid>
      <w:tr w:rsidR="00833F25" w:rsidRPr="002E6E78" w14:paraId="66583F0B" w14:textId="77777777" w:rsidTr="00833F25">
        <w:tc>
          <w:tcPr>
            <w:tcW w:w="1710" w:type="dxa"/>
            <w:shd w:val="clear" w:color="auto" w:fill="365F91"/>
          </w:tcPr>
          <w:p w14:paraId="22818160" w14:textId="77777777" w:rsidR="00833F25" w:rsidRPr="002E6E78" w:rsidRDefault="00833F25" w:rsidP="00AD4ACB">
            <w:pPr>
              <w:spacing w:after="120"/>
              <w:rPr>
                <w:b/>
                <w:color w:val="FFFFFF"/>
              </w:rPr>
            </w:pPr>
            <w:r w:rsidRPr="002E6E78">
              <w:rPr>
                <w:b/>
                <w:color w:val="FFFFFF"/>
              </w:rPr>
              <w:t>Text</w:t>
            </w:r>
          </w:p>
        </w:tc>
        <w:tc>
          <w:tcPr>
            <w:tcW w:w="990" w:type="dxa"/>
            <w:shd w:val="clear" w:color="auto" w:fill="365F91"/>
          </w:tcPr>
          <w:p w14:paraId="5D4CFF6A" w14:textId="77777777" w:rsidR="00833F25" w:rsidRPr="002E6E78" w:rsidRDefault="00833F25" w:rsidP="00AD4ACB">
            <w:pPr>
              <w:spacing w:after="120"/>
              <w:rPr>
                <w:b/>
                <w:color w:val="FFFFFF"/>
              </w:rPr>
            </w:pPr>
            <w:r w:rsidRPr="002E6E78">
              <w:rPr>
                <w:b/>
                <w:color w:val="FFFFFF"/>
              </w:rPr>
              <w:t>Lessons in the Unit</w:t>
            </w:r>
          </w:p>
        </w:tc>
        <w:tc>
          <w:tcPr>
            <w:tcW w:w="2790" w:type="dxa"/>
            <w:shd w:val="clear" w:color="auto" w:fill="365F91"/>
          </w:tcPr>
          <w:p w14:paraId="6DEF608B" w14:textId="77777777" w:rsidR="00833F25" w:rsidRPr="002E6E78" w:rsidRDefault="00833F25" w:rsidP="00AD4ACB">
            <w:pPr>
              <w:spacing w:after="120"/>
              <w:rPr>
                <w:b/>
                <w:color w:val="FFFFFF"/>
              </w:rPr>
            </w:pPr>
            <w:r w:rsidRPr="002E6E78">
              <w:rPr>
                <w:b/>
                <w:color w:val="FFFFFF"/>
              </w:rPr>
              <w:t>Literacy Skills and Habits</w:t>
            </w:r>
          </w:p>
          <w:p w14:paraId="1357A8F0" w14:textId="77777777" w:rsidR="00833F25" w:rsidRPr="002E6E78" w:rsidRDefault="00833F25" w:rsidP="00AD4ACB">
            <w:pPr>
              <w:spacing w:after="120"/>
              <w:rPr>
                <w:b/>
                <w:color w:val="FFFFFF"/>
              </w:rPr>
            </w:pPr>
          </w:p>
        </w:tc>
        <w:tc>
          <w:tcPr>
            <w:tcW w:w="1531" w:type="dxa"/>
            <w:shd w:val="clear" w:color="auto" w:fill="365F91"/>
          </w:tcPr>
          <w:p w14:paraId="24F8BD28" w14:textId="77777777" w:rsidR="00833F25" w:rsidRPr="002E6E78" w:rsidRDefault="00833F25" w:rsidP="00AD4ACB">
            <w:pPr>
              <w:spacing w:after="120"/>
              <w:rPr>
                <w:b/>
                <w:color w:val="FFFFFF"/>
              </w:rPr>
            </w:pPr>
            <w:r w:rsidRPr="002E6E78">
              <w:rPr>
                <w:b/>
                <w:color w:val="FFFFFF"/>
              </w:rPr>
              <w:t>NYS P12 Assessed and Addressed CCSS</w:t>
            </w:r>
          </w:p>
        </w:tc>
        <w:tc>
          <w:tcPr>
            <w:tcW w:w="2429" w:type="dxa"/>
            <w:shd w:val="clear" w:color="auto" w:fill="365F91"/>
          </w:tcPr>
          <w:p w14:paraId="757D6352" w14:textId="77777777" w:rsidR="00833F25" w:rsidRPr="002E6E78" w:rsidRDefault="00833F25" w:rsidP="00AD4ACB">
            <w:pPr>
              <w:spacing w:after="120"/>
              <w:rPr>
                <w:b/>
                <w:color w:val="FFFFFF"/>
              </w:rPr>
            </w:pPr>
            <w:r w:rsidRPr="002E6E78">
              <w:rPr>
                <w:b/>
                <w:color w:val="FFFFFF"/>
              </w:rPr>
              <w:t>Assessments</w:t>
            </w:r>
          </w:p>
        </w:tc>
      </w:tr>
      <w:tr w:rsidR="00833F25" w:rsidRPr="002E6E78" w14:paraId="19793905" w14:textId="77777777" w:rsidTr="00833F25">
        <w:tc>
          <w:tcPr>
            <w:tcW w:w="9450" w:type="dxa"/>
            <w:gridSpan w:val="5"/>
            <w:shd w:val="clear" w:color="auto" w:fill="95B3D7"/>
          </w:tcPr>
          <w:p w14:paraId="62776562" w14:textId="65070F51" w:rsidR="00833F25" w:rsidRPr="002E6E78" w:rsidRDefault="00833F25" w:rsidP="00044848">
            <w:pPr>
              <w:spacing w:before="40" w:after="40"/>
              <w:rPr>
                <w:b/>
                <w:color w:val="FFFFFF"/>
              </w:rPr>
            </w:pPr>
            <w:r>
              <w:rPr>
                <w:b/>
                <w:color w:val="FFFFFF"/>
              </w:rPr>
              <w:t xml:space="preserve">Unit 1: </w:t>
            </w:r>
            <w:r w:rsidRPr="00D90C4F">
              <w:rPr>
                <w:b/>
                <w:color w:val="FFFFFF" w:themeColor="background1"/>
              </w:rPr>
              <w:t>“</w:t>
            </w:r>
            <w:r>
              <w:rPr>
                <w:b/>
                <w:color w:val="FFFFFF" w:themeColor="background1"/>
              </w:rPr>
              <w:t>He began to have a dim feeling that, to attain his place in the world, he must be himself, and not another.”</w:t>
            </w:r>
          </w:p>
        </w:tc>
      </w:tr>
      <w:tr w:rsidR="00833F25" w:rsidRPr="002E6E78" w14:paraId="38412200" w14:textId="77777777" w:rsidTr="00833F25">
        <w:tc>
          <w:tcPr>
            <w:tcW w:w="1710" w:type="dxa"/>
          </w:tcPr>
          <w:p w14:paraId="18AC4751" w14:textId="3EB1A192" w:rsidR="00833F25" w:rsidRDefault="00AD4ACB" w:rsidP="00833F25">
            <w:r>
              <w:rPr>
                <w:i/>
              </w:rPr>
              <w:t>The Souls of Black Folk</w:t>
            </w:r>
            <w:r w:rsidR="003C7F5C">
              <w:t xml:space="preserve"> by</w:t>
            </w:r>
            <w:r w:rsidR="00833F25">
              <w:t xml:space="preserve"> W.E.B. Du Bois</w:t>
            </w:r>
            <w:r>
              <w:t>, Chapter 1: “Of Our Spiritual Strivings”</w:t>
            </w:r>
          </w:p>
          <w:p w14:paraId="5A8D352E" w14:textId="7D8AF565" w:rsidR="00833F25" w:rsidRPr="002E6E78" w:rsidRDefault="003C7F5C" w:rsidP="00833F25">
            <w:pPr>
              <w:spacing w:before="120" w:after="120"/>
            </w:pPr>
            <w:r>
              <w:t>“Atlanta Compromise Speech</w:t>
            </w:r>
            <w:r w:rsidR="00833F25">
              <w:t>”</w:t>
            </w:r>
            <w:r>
              <w:t xml:space="preserve"> by</w:t>
            </w:r>
            <w:r w:rsidR="00833F25">
              <w:t xml:space="preserve"> Booker T. Washington</w:t>
            </w:r>
          </w:p>
        </w:tc>
        <w:tc>
          <w:tcPr>
            <w:tcW w:w="990" w:type="dxa"/>
          </w:tcPr>
          <w:p w14:paraId="763E00AC" w14:textId="2104ADE8" w:rsidR="00833F25" w:rsidRPr="002E6E78" w:rsidRDefault="00833F25" w:rsidP="00833F25">
            <w:pPr>
              <w:spacing w:before="120" w:after="60"/>
            </w:pPr>
            <w:r>
              <w:t xml:space="preserve">26 </w:t>
            </w:r>
          </w:p>
        </w:tc>
        <w:tc>
          <w:tcPr>
            <w:tcW w:w="2790" w:type="dxa"/>
          </w:tcPr>
          <w:p w14:paraId="63B4D956" w14:textId="77777777" w:rsidR="006F7FFA" w:rsidRPr="00677A89" w:rsidRDefault="006F7FFA" w:rsidP="00452AF8">
            <w:pPr>
              <w:pStyle w:val="BulletedList"/>
              <w:numPr>
                <w:ilvl w:val="0"/>
                <w:numId w:val="3"/>
              </w:numPr>
              <w:ind w:left="360"/>
            </w:pPr>
            <w:r>
              <w:t xml:space="preserve">Read closely for textual </w:t>
            </w:r>
            <w:r w:rsidRPr="00677A89">
              <w:t>details</w:t>
            </w:r>
          </w:p>
          <w:p w14:paraId="2C029109" w14:textId="77777777" w:rsidR="006F7FFA" w:rsidRDefault="006F7FFA" w:rsidP="00452AF8">
            <w:pPr>
              <w:pStyle w:val="BulletedList"/>
              <w:numPr>
                <w:ilvl w:val="0"/>
                <w:numId w:val="3"/>
              </w:numPr>
              <w:ind w:left="360"/>
            </w:pPr>
            <w:r w:rsidRPr="00677A89">
              <w:t>Annotate texts to support comprehension and analysis</w:t>
            </w:r>
          </w:p>
          <w:p w14:paraId="7982C31C" w14:textId="77777777" w:rsidR="006F7FFA" w:rsidRDefault="006F7FFA" w:rsidP="00452AF8">
            <w:pPr>
              <w:pStyle w:val="BulletedList"/>
              <w:numPr>
                <w:ilvl w:val="0"/>
                <w:numId w:val="3"/>
              </w:numPr>
              <w:ind w:left="360"/>
            </w:pPr>
            <w:r>
              <w:t>Track rhetoric and analyze its impact on the text</w:t>
            </w:r>
          </w:p>
          <w:p w14:paraId="2883F5E5" w14:textId="4A692DAF" w:rsidR="006F7FFA" w:rsidRPr="00677A89" w:rsidRDefault="006F7FFA" w:rsidP="00452AF8">
            <w:pPr>
              <w:pStyle w:val="BulletedList"/>
              <w:numPr>
                <w:ilvl w:val="0"/>
                <w:numId w:val="3"/>
              </w:numPr>
              <w:ind w:left="360"/>
            </w:pPr>
            <w:r>
              <w:t>Compare authors</w:t>
            </w:r>
            <w:r w:rsidR="00197B59">
              <w:t>’</w:t>
            </w:r>
            <w:r>
              <w:t xml:space="preserve"> arguments</w:t>
            </w:r>
          </w:p>
          <w:p w14:paraId="697D1B3F" w14:textId="77777777" w:rsidR="006F7FFA" w:rsidRPr="00677A89" w:rsidRDefault="006F7FFA" w:rsidP="00452AF8">
            <w:pPr>
              <w:pStyle w:val="BulletedList"/>
              <w:numPr>
                <w:ilvl w:val="0"/>
                <w:numId w:val="3"/>
              </w:numPr>
              <w:ind w:left="360"/>
            </w:pPr>
            <w:r w:rsidRPr="00677A89">
              <w:t>Engage in productive evidence-based discussions about text</w:t>
            </w:r>
          </w:p>
          <w:p w14:paraId="7F8B1D8B" w14:textId="77777777" w:rsidR="006F7FFA" w:rsidRDefault="006F7FFA" w:rsidP="00452AF8">
            <w:pPr>
              <w:pStyle w:val="BulletedList"/>
              <w:numPr>
                <w:ilvl w:val="0"/>
                <w:numId w:val="3"/>
              </w:numPr>
              <w:ind w:left="360"/>
            </w:pPr>
            <w:r w:rsidRPr="00677A89">
              <w:lastRenderedPageBreak/>
              <w:t>Collect and organize evidence from texts to support analysis in writing</w:t>
            </w:r>
          </w:p>
          <w:p w14:paraId="16F95FA6" w14:textId="77777777" w:rsidR="006F7FFA" w:rsidRPr="003539A7" w:rsidRDefault="006F7FFA" w:rsidP="00452AF8">
            <w:pPr>
              <w:pStyle w:val="BulletedList"/>
              <w:numPr>
                <w:ilvl w:val="0"/>
                <w:numId w:val="3"/>
              </w:numPr>
              <w:ind w:left="360"/>
            </w:pPr>
            <w:r>
              <w:t>Independently preview text in preparation for supported analysis</w:t>
            </w:r>
          </w:p>
          <w:p w14:paraId="77D72A69" w14:textId="77777777" w:rsidR="006F7FFA" w:rsidRDefault="006F7FFA" w:rsidP="00452AF8">
            <w:pPr>
              <w:pStyle w:val="BulletedList"/>
              <w:numPr>
                <w:ilvl w:val="0"/>
                <w:numId w:val="3"/>
              </w:numPr>
              <w:ind w:left="360"/>
            </w:pPr>
            <w:r w:rsidRPr="003539A7">
              <w:t>Paraphrase and quote relevant evidence from a text</w:t>
            </w:r>
          </w:p>
          <w:p w14:paraId="38B40BBA" w14:textId="4F4FD138" w:rsidR="00833F25" w:rsidRPr="00044848" w:rsidRDefault="006F7FFA" w:rsidP="00452AF8">
            <w:pPr>
              <w:pStyle w:val="BulletedList"/>
              <w:numPr>
                <w:ilvl w:val="0"/>
                <w:numId w:val="3"/>
              </w:numPr>
              <w:ind w:left="360"/>
            </w:pPr>
            <w:r>
              <w:t>Practice key skills from targeted writing standards</w:t>
            </w:r>
          </w:p>
        </w:tc>
        <w:tc>
          <w:tcPr>
            <w:tcW w:w="1531" w:type="dxa"/>
          </w:tcPr>
          <w:p w14:paraId="35DED0FE" w14:textId="77777777" w:rsidR="0003587B" w:rsidRPr="001E4E77" w:rsidRDefault="0003587B" w:rsidP="0003587B">
            <w:pPr>
              <w:pStyle w:val="TableText"/>
            </w:pPr>
            <w:r w:rsidRPr="001E4E77">
              <w:lastRenderedPageBreak/>
              <w:t>CCRA.R.8</w:t>
            </w:r>
          </w:p>
          <w:p w14:paraId="6E32AB38" w14:textId="7BEBD99F" w:rsidR="00833F25" w:rsidRDefault="000B2DCA" w:rsidP="00F44671">
            <w:pPr>
              <w:pStyle w:val="TableText"/>
              <w:rPr>
                <w:b/>
              </w:rPr>
            </w:pPr>
            <w:r w:rsidRPr="001E4E77">
              <w:rPr>
                <w:b/>
              </w:rPr>
              <w:t>CCRA.R.9</w:t>
            </w:r>
          </w:p>
          <w:p w14:paraId="035E66A4" w14:textId="5C821AD9" w:rsidR="00833F25" w:rsidRPr="001E4E77" w:rsidRDefault="000B2DCA" w:rsidP="00F44671">
            <w:pPr>
              <w:pStyle w:val="TableText"/>
              <w:rPr>
                <w:b/>
              </w:rPr>
            </w:pPr>
            <w:r w:rsidRPr="001E4E77">
              <w:rPr>
                <w:b/>
              </w:rPr>
              <w:t>RI.11-12.2</w:t>
            </w:r>
          </w:p>
          <w:p w14:paraId="05BE4155" w14:textId="77777777" w:rsidR="00833F25" w:rsidRPr="001E4E77" w:rsidRDefault="000B2DCA" w:rsidP="00F44671">
            <w:pPr>
              <w:pStyle w:val="TableText"/>
              <w:rPr>
                <w:b/>
              </w:rPr>
            </w:pPr>
            <w:r w:rsidRPr="001E4E77">
              <w:rPr>
                <w:b/>
              </w:rPr>
              <w:t>RI.11-12.3</w:t>
            </w:r>
          </w:p>
          <w:p w14:paraId="32593580" w14:textId="77777777" w:rsidR="000B2DCA" w:rsidRPr="001E4E77" w:rsidRDefault="000B2DCA" w:rsidP="00F44671">
            <w:pPr>
              <w:pStyle w:val="TableText"/>
              <w:rPr>
                <w:b/>
              </w:rPr>
            </w:pPr>
            <w:r w:rsidRPr="001E4E77">
              <w:rPr>
                <w:b/>
              </w:rPr>
              <w:t>RI.11-12.4</w:t>
            </w:r>
          </w:p>
          <w:p w14:paraId="23662D65" w14:textId="77777777" w:rsidR="000B2DCA" w:rsidRPr="001E4E77" w:rsidRDefault="000B2DCA" w:rsidP="00C27ED9">
            <w:pPr>
              <w:pStyle w:val="TableText"/>
              <w:rPr>
                <w:b/>
              </w:rPr>
            </w:pPr>
            <w:r w:rsidRPr="001E4E77">
              <w:rPr>
                <w:b/>
              </w:rPr>
              <w:t>RI.11-12.6</w:t>
            </w:r>
          </w:p>
          <w:p w14:paraId="639A13F7" w14:textId="1BBF38C6" w:rsidR="000B2DCA" w:rsidRPr="001E4E77" w:rsidRDefault="000B2DCA" w:rsidP="00C27ED9">
            <w:pPr>
              <w:pStyle w:val="TableText"/>
              <w:rPr>
                <w:b/>
              </w:rPr>
            </w:pPr>
            <w:r w:rsidRPr="001E4E77">
              <w:rPr>
                <w:b/>
              </w:rPr>
              <w:t>W.11-12.2.</w:t>
            </w:r>
            <w:r w:rsidR="001E4E77" w:rsidRPr="001E4E77">
              <w:rPr>
                <w:b/>
              </w:rPr>
              <w:t>a</w:t>
            </w:r>
            <w:r w:rsidR="00AD4ACB">
              <w:rPr>
                <w:b/>
              </w:rPr>
              <w:t>, b, c,</w:t>
            </w:r>
            <w:r w:rsidRPr="001E4E77">
              <w:rPr>
                <w:b/>
              </w:rPr>
              <w:t xml:space="preserve"> d</w:t>
            </w:r>
            <w:r w:rsidR="001E4E77" w:rsidRPr="001E4E77">
              <w:rPr>
                <w:b/>
              </w:rPr>
              <w:t>, f</w:t>
            </w:r>
          </w:p>
          <w:p w14:paraId="7A57DED3" w14:textId="77777777" w:rsidR="000B2DCA" w:rsidRDefault="000B2DCA" w:rsidP="00C27ED9">
            <w:pPr>
              <w:pStyle w:val="TableText"/>
            </w:pPr>
            <w:r>
              <w:t>W.11-12.4</w:t>
            </w:r>
          </w:p>
          <w:p w14:paraId="29C8B696" w14:textId="77777777" w:rsidR="000B2DCA" w:rsidRPr="001E4E77" w:rsidRDefault="000B2DCA" w:rsidP="00C27ED9">
            <w:pPr>
              <w:pStyle w:val="TableText"/>
              <w:rPr>
                <w:b/>
              </w:rPr>
            </w:pPr>
            <w:r w:rsidRPr="001E4E77">
              <w:rPr>
                <w:b/>
              </w:rPr>
              <w:t>W.11-12.5</w:t>
            </w:r>
          </w:p>
          <w:p w14:paraId="2E267268" w14:textId="77777777" w:rsidR="000B2DCA" w:rsidRDefault="000B2DCA" w:rsidP="00F44671">
            <w:pPr>
              <w:pStyle w:val="TableText"/>
            </w:pPr>
            <w:r>
              <w:t>W.11-12.9.b</w:t>
            </w:r>
          </w:p>
          <w:p w14:paraId="18A8C71A" w14:textId="77777777" w:rsidR="000B2DCA" w:rsidRDefault="000B2DCA" w:rsidP="00F44671">
            <w:pPr>
              <w:pStyle w:val="TableText"/>
              <w:rPr>
                <w:b/>
              </w:rPr>
            </w:pPr>
            <w:r w:rsidRPr="001E4E77">
              <w:rPr>
                <w:b/>
              </w:rPr>
              <w:t>SL.11-12.1.a,c</w:t>
            </w:r>
          </w:p>
          <w:p w14:paraId="529CDC7F" w14:textId="77777777" w:rsidR="001E4E77" w:rsidRDefault="001E4E77" w:rsidP="00F44671">
            <w:pPr>
              <w:pStyle w:val="TableText"/>
              <w:rPr>
                <w:b/>
              </w:rPr>
            </w:pPr>
            <w:r>
              <w:rPr>
                <w:b/>
              </w:rPr>
              <w:lastRenderedPageBreak/>
              <w:t>L.11-12.1</w:t>
            </w:r>
          </w:p>
          <w:p w14:paraId="477DD99E" w14:textId="4CFF8F1C" w:rsidR="001E4E77" w:rsidRPr="001E4E77" w:rsidRDefault="001E4E77" w:rsidP="00F44671">
            <w:pPr>
              <w:pStyle w:val="TableText"/>
              <w:rPr>
                <w:b/>
              </w:rPr>
            </w:pPr>
            <w:r>
              <w:rPr>
                <w:b/>
              </w:rPr>
              <w:t>L.11-12.2</w:t>
            </w:r>
          </w:p>
          <w:p w14:paraId="371C7D5E" w14:textId="77777777" w:rsidR="000B2DCA" w:rsidRDefault="000B2DCA" w:rsidP="00F44671">
            <w:pPr>
              <w:pStyle w:val="TableText"/>
            </w:pPr>
            <w:r>
              <w:t>L.11-12.3.a</w:t>
            </w:r>
          </w:p>
          <w:p w14:paraId="3F274289" w14:textId="11F1C3B2" w:rsidR="000B2DCA" w:rsidRDefault="000B2DCA" w:rsidP="00F44671">
            <w:pPr>
              <w:pStyle w:val="TableText"/>
            </w:pPr>
            <w:r w:rsidRPr="00323B60">
              <w:t>L.11-12.4.a</w:t>
            </w:r>
            <w:r w:rsidR="001E4E77">
              <w:t>,</w:t>
            </w:r>
            <w:r w:rsidR="00AD4ACB">
              <w:t xml:space="preserve"> </w:t>
            </w:r>
            <w:r w:rsidR="001E4E77">
              <w:t>b</w:t>
            </w:r>
          </w:p>
          <w:p w14:paraId="603054A3" w14:textId="77777777" w:rsidR="000B2DCA" w:rsidRPr="001E4E77" w:rsidRDefault="000B2DCA" w:rsidP="00C27ED9">
            <w:pPr>
              <w:pStyle w:val="TableText"/>
              <w:rPr>
                <w:b/>
              </w:rPr>
            </w:pPr>
            <w:r w:rsidRPr="001E4E77">
              <w:rPr>
                <w:b/>
              </w:rPr>
              <w:t>L.11-12.5.a</w:t>
            </w:r>
          </w:p>
          <w:p w14:paraId="5794623D" w14:textId="5B024DE6" w:rsidR="000B2DCA" w:rsidRPr="00576DB0" w:rsidRDefault="000B2DCA" w:rsidP="00833F25">
            <w:pPr>
              <w:spacing w:before="120"/>
              <w:contextualSpacing/>
            </w:pPr>
          </w:p>
        </w:tc>
        <w:tc>
          <w:tcPr>
            <w:tcW w:w="2429" w:type="dxa"/>
          </w:tcPr>
          <w:p w14:paraId="1DD64051" w14:textId="77777777" w:rsidR="003C7F5C" w:rsidRPr="00AD4ACB" w:rsidRDefault="006F7FFA" w:rsidP="00AD4ACB">
            <w:pPr>
              <w:pStyle w:val="TableText"/>
              <w:rPr>
                <w:b/>
              </w:rPr>
            </w:pPr>
            <w:r w:rsidRPr="00AD4ACB">
              <w:rPr>
                <w:b/>
              </w:rPr>
              <w:lastRenderedPageBreak/>
              <w:t>Mid-</w:t>
            </w:r>
            <w:r w:rsidR="003C7F5C" w:rsidRPr="00AD4ACB">
              <w:rPr>
                <w:b/>
              </w:rPr>
              <w:t>Unit:</w:t>
            </w:r>
          </w:p>
          <w:p w14:paraId="36EB09E3" w14:textId="02ED4D3F" w:rsidR="003A5941" w:rsidRPr="00F44671" w:rsidRDefault="006F7FFA" w:rsidP="00F44671">
            <w:pPr>
              <w:pStyle w:val="TableText"/>
            </w:pPr>
            <w:r>
              <w:t xml:space="preserve">Students write a multi-paragraph response to the following prompt: </w:t>
            </w:r>
            <w:r w:rsidR="00A160C3" w:rsidRPr="00A72DDE">
              <w:rPr>
                <w:rFonts w:cs="Arial"/>
                <w:color w:val="1A1A1A"/>
                <w:lang w:eastAsia="ja-JP"/>
              </w:rPr>
              <w:t>Identify a central idea in "Of Our Spiritual Strivings" and analyze how Du Bois uses figurative language or rhetoric to develop this central idea.</w:t>
            </w:r>
          </w:p>
          <w:p w14:paraId="3AAC55A2" w14:textId="77777777" w:rsidR="003C7F5C" w:rsidRPr="00AD4ACB" w:rsidRDefault="006F7FFA" w:rsidP="00AD4ACB">
            <w:pPr>
              <w:pStyle w:val="TableText"/>
              <w:rPr>
                <w:b/>
              </w:rPr>
            </w:pPr>
            <w:r w:rsidRPr="00AD4ACB">
              <w:rPr>
                <w:b/>
              </w:rPr>
              <w:t>End-of-</w:t>
            </w:r>
            <w:r w:rsidR="003C7F5C" w:rsidRPr="00AD4ACB">
              <w:rPr>
                <w:b/>
              </w:rPr>
              <w:t>Unit</w:t>
            </w:r>
            <w:r w:rsidRPr="00AD4ACB">
              <w:rPr>
                <w:b/>
              </w:rPr>
              <w:t xml:space="preserve">: </w:t>
            </w:r>
          </w:p>
          <w:p w14:paraId="723D6463" w14:textId="1661966A" w:rsidR="006F7FFA" w:rsidRPr="00EE60C7" w:rsidRDefault="006F7FFA" w:rsidP="00044848">
            <w:pPr>
              <w:pStyle w:val="TableText"/>
              <w:rPr>
                <w:rFonts w:ascii="Cambria" w:hAnsi="Cambria"/>
                <w:color w:val="17365D"/>
                <w:spacing w:val="5"/>
                <w:kern w:val="28"/>
                <w:sz w:val="52"/>
                <w:szCs w:val="52"/>
              </w:rPr>
            </w:pPr>
            <w:r>
              <w:t>Students write a multi-</w:t>
            </w:r>
            <w:r>
              <w:lastRenderedPageBreak/>
              <w:t>paragraph essay in r</w:t>
            </w:r>
            <w:r w:rsidR="003C7F5C">
              <w:t>esponse to the following promp</w:t>
            </w:r>
            <w:r>
              <w:t xml:space="preserve">t: </w:t>
            </w:r>
            <w:r w:rsidR="00A160C3">
              <w:rPr>
                <w:shd w:val="clear" w:color="auto" w:fill="FFFFFF"/>
              </w:rPr>
              <w:t xml:space="preserve">Consider Du Bois’s “Of Our Spiritual Strivings” and Washington’s “Atlanta Compromise Speech.” Analyze how each author uses rhetoric to advance his point of view, and consider how each author’s </w:t>
            </w:r>
            <w:r w:rsidR="00A160C3" w:rsidRPr="00CD0CEB">
              <w:rPr>
                <w:shd w:val="clear" w:color="auto" w:fill="FFFFFF"/>
              </w:rPr>
              <w:t>use of</w:t>
            </w:r>
            <w:r w:rsidR="00A160C3">
              <w:rPr>
                <w:color w:val="70AD47"/>
                <w:shd w:val="clear" w:color="auto" w:fill="FFFFFF"/>
              </w:rPr>
              <w:t xml:space="preserve"> </w:t>
            </w:r>
            <w:r w:rsidR="00A160C3" w:rsidRPr="00CD0CEB">
              <w:rPr>
                <w:shd w:val="clear" w:color="auto" w:fill="FFFFFF"/>
              </w:rPr>
              <w:t>rhetoric contribute</w:t>
            </w:r>
            <w:r w:rsidR="00A160C3">
              <w:rPr>
                <w:shd w:val="clear" w:color="auto" w:fill="FFFFFF"/>
              </w:rPr>
              <w:t>s</w:t>
            </w:r>
            <w:r w:rsidR="00A160C3">
              <w:rPr>
                <w:color w:val="70AD47"/>
                <w:shd w:val="clear" w:color="auto" w:fill="FFFFFF"/>
              </w:rPr>
              <w:t xml:space="preserve"> </w:t>
            </w:r>
            <w:r w:rsidR="00A160C3">
              <w:rPr>
                <w:shd w:val="clear" w:color="auto" w:fill="FFFFFF"/>
              </w:rPr>
              <w:t>to the power or persuasiveness of the text</w:t>
            </w:r>
            <w:r w:rsidR="00A160C3" w:rsidRPr="00CD0CEB">
              <w:rPr>
                <w:rStyle w:val="TAChar"/>
              </w:rPr>
              <w:t>.</w:t>
            </w:r>
          </w:p>
        </w:tc>
      </w:tr>
      <w:tr w:rsidR="00833F25" w:rsidRPr="002E6E78" w14:paraId="7640114B" w14:textId="77777777" w:rsidTr="00833F25">
        <w:tc>
          <w:tcPr>
            <w:tcW w:w="9450" w:type="dxa"/>
            <w:gridSpan w:val="5"/>
            <w:shd w:val="clear" w:color="auto" w:fill="95B3D7"/>
          </w:tcPr>
          <w:p w14:paraId="35C2338A" w14:textId="421267C7" w:rsidR="00833F25" w:rsidRPr="0003587B" w:rsidRDefault="00833F25" w:rsidP="00044848">
            <w:pPr>
              <w:spacing w:before="40" w:after="40"/>
              <w:rPr>
                <w:rFonts w:asciiTheme="minorHAnsi" w:hAnsiTheme="minorHAnsi"/>
                <w:b/>
                <w:color w:val="FFFFFF"/>
              </w:rPr>
            </w:pPr>
            <w:r w:rsidRPr="0003587B">
              <w:rPr>
                <w:rFonts w:asciiTheme="minorHAnsi" w:hAnsiTheme="minorHAnsi"/>
                <w:b/>
                <w:color w:val="FFFFFF"/>
              </w:rPr>
              <w:lastRenderedPageBreak/>
              <w:t xml:space="preserve">Unit 2: </w:t>
            </w:r>
            <w:r w:rsidRPr="0003587B">
              <w:rPr>
                <w:rFonts w:asciiTheme="minorHAnsi" w:hAnsiTheme="minorHAnsi"/>
                <w:b/>
                <w:color w:val="FFFFFF" w:themeColor="background1"/>
              </w:rPr>
              <w:t xml:space="preserve">“I am / the sun and moon and forever hungry” </w:t>
            </w:r>
          </w:p>
        </w:tc>
      </w:tr>
      <w:tr w:rsidR="00833F25" w:rsidRPr="002E6E78" w14:paraId="5C2CE5A2" w14:textId="77777777" w:rsidTr="00044848">
        <w:tc>
          <w:tcPr>
            <w:tcW w:w="1710" w:type="dxa"/>
          </w:tcPr>
          <w:p w14:paraId="660E9A4F" w14:textId="0E595463" w:rsidR="00833F25" w:rsidRPr="0003587B" w:rsidRDefault="00833F25" w:rsidP="00833F25">
            <w:pPr>
              <w:rPr>
                <w:rFonts w:asciiTheme="minorHAnsi" w:hAnsiTheme="minorHAnsi"/>
              </w:rPr>
            </w:pPr>
            <w:r w:rsidRPr="0003587B">
              <w:rPr>
                <w:rFonts w:asciiTheme="minorHAnsi" w:hAnsiTheme="minorHAnsi"/>
              </w:rPr>
              <w:t>“From the House of Yemanja”</w:t>
            </w:r>
            <w:r w:rsidR="003C7F5C" w:rsidRPr="0003587B">
              <w:rPr>
                <w:rFonts w:asciiTheme="minorHAnsi" w:hAnsiTheme="minorHAnsi"/>
              </w:rPr>
              <w:t xml:space="preserve"> by </w:t>
            </w:r>
            <w:r w:rsidRPr="0003587B">
              <w:rPr>
                <w:rFonts w:asciiTheme="minorHAnsi" w:hAnsiTheme="minorHAnsi"/>
              </w:rPr>
              <w:t>Audre Lorde</w:t>
            </w:r>
          </w:p>
          <w:p w14:paraId="65BFEAB8" w14:textId="24DDA818" w:rsidR="00833F25" w:rsidRPr="000E6DDF" w:rsidRDefault="00833F25" w:rsidP="001E4E77">
            <w:pPr>
              <w:spacing w:before="120" w:after="120"/>
              <w:rPr>
                <w:i/>
              </w:rPr>
            </w:pPr>
            <w:r w:rsidRPr="0003587B">
              <w:rPr>
                <w:rFonts w:asciiTheme="minorHAnsi" w:hAnsiTheme="minorHAnsi"/>
              </w:rPr>
              <w:t>“An Addr</w:t>
            </w:r>
            <w:r w:rsidR="003C7F5C" w:rsidRPr="0003587B">
              <w:rPr>
                <w:rFonts w:asciiTheme="minorHAnsi" w:hAnsiTheme="minorHAnsi"/>
              </w:rPr>
              <w:t>ess by Elizabeth Cady Stanton”</w:t>
            </w:r>
            <w:r w:rsidR="003C7F5C">
              <w:rPr>
                <w:rFonts w:asciiTheme="majorHAnsi" w:hAnsiTheme="majorHAnsi"/>
              </w:rPr>
              <w:t xml:space="preserve"> </w:t>
            </w:r>
          </w:p>
        </w:tc>
        <w:tc>
          <w:tcPr>
            <w:tcW w:w="990" w:type="dxa"/>
          </w:tcPr>
          <w:p w14:paraId="0E9C725C" w14:textId="5FE1F07B" w:rsidR="00833F25" w:rsidRPr="002E6E78" w:rsidRDefault="00833F25" w:rsidP="00833F25">
            <w:pPr>
              <w:spacing w:before="120"/>
            </w:pPr>
            <w:r>
              <w:t>14</w:t>
            </w:r>
          </w:p>
        </w:tc>
        <w:tc>
          <w:tcPr>
            <w:tcW w:w="2790" w:type="dxa"/>
          </w:tcPr>
          <w:p w14:paraId="69934938" w14:textId="77777777" w:rsidR="00056D7C" w:rsidRPr="003539A7" w:rsidRDefault="00056D7C" w:rsidP="00452AF8">
            <w:pPr>
              <w:pStyle w:val="BulletedList"/>
              <w:numPr>
                <w:ilvl w:val="0"/>
                <w:numId w:val="3"/>
              </w:numPr>
              <w:ind w:left="360"/>
            </w:pPr>
            <w:r w:rsidRPr="003539A7">
              <w:t>Read closely for textual details</w:t>
            </w:r>
          </w:p>
          <w:p w14:paraId="526CCE32" w14:textId="77777777" w:rsidR="00056D7C" w:rsidRDefault="00056D7C" w:rsidP="00452AF8">
            <w:pPr>
              <w:pStyle w:val="BulletedList"/>
              <w:numPr>
                <w:ilvl w:val="0"/>
                <w:numId w:val="3"/>
              </w:numPr>
              <w:ind w:left="360"/>
            </w:pPr>
            <w:r w:rsidRPr="003539A7">
              <w:t>Annotate texts to support comprehension and analysis</w:t>
            </w:r>
          </w:p>
          <w:p w14:paraId="332F40BC" w14:textId="77777777" w:rsidR="00056D7C" w:rsidRPr="003539A7" w:rsidRDefault="00056D7C" w:rsidP="00452AF8">
            <w:pPr>
              <w:pStyle w:val="BulletedList"/>
              <w:numPr>
                <w:ilvl w:val="0"/>
                <w:numId w:val="3"/>
              </w:numPr>
              <w:ind w:left="360"/>
            </w:pPr>
            <w:r>
              <w:t>Delineate evidence and reasoning in an argument</w:t>
            </w:r>
          </w:p>
          <w:p w14:paraId="36D34DB4" w14:textId="77777777" w:rsidR="00056D7C" w:rsidRDefault="00056D7C" w:rsidP="00452AF8">
            <w:pPr>
              <w:pStyle w:val="BulletedList"/>
              <w:numPr>
                <w:ilvl w:val="0"/>
                <w:numId w:val="3"/>
              </w:numPr>
              <w:ind w:left="360"/>
            </w:pPr>
            <w:r w:rsidRPr="003539A7">
              <w:t>Engage in productive evidence-base</w:t>
            </w:r>
            <w:r>
              <w:t>d conversations about text</w:t>
            </w:r>
          </w:p>
          <w:p w14:paraId="6358D153" w14:textId="77777777" w:rsidR="00056D7C" w:rsidRDefault="00056D7C" w:rsidP="00452AF8">
            <w:pPr>
              <w:pStyle w:val="BulletedList"/>
              <w:numPr>
                <w:ilvl w:val="0"/>
                <w:numId w:val="3"/>
              </w:numPr>
              <w:ind w:left="360"/>
            </w:pPr>
            <w:r w:rsidRPr="003539A7">
              <w:t>Determine meaning of unknown vocabulary</w:t>
            </w:r>
          </w:p>
          <w:p w14:paraId="61633C4F" w14:textId="77777777" w:rsidR="00056D7C" w:rsidRPr="003539A7" w:rsidRDefault="00056D7C" w:rsidP="00452AF8">
            <w:pPr>
              <w:pStyle w:val="BulletedList"/>
              <w:numPr>
                <w:ilvl w:val="0"/>
                <w:numId w:val="3"/>
              </w:numPr>
              <w:ind w:left="360"/>
            </w:pPr>
            <w:r>
              <w:t>Independently preview text in preparation for supported analysis</w:t>
            </w:r>
          </w:p>
          <w:p w14:paraId="370D96C4" w14:textId="77777777" w:rsidR="00056D7C" w:rsidRDefault="00056D7C" w:rsidP="00452AF8">
            <w:pPr>
              <w:pStyle w:val="BulletedList"/>
              <w:numPr>
                <w:ilvl w:val="0"/>
                <w:numId w:val="3"/>
              </w:numPr>
              <w:ind w:left="360"/>
            </w:pPr>
            <w:r w:rsidRPr="003539A7">
              <w:t xml:space="preserve">Paraphrase and quote relevant evidence from </w:t>
            </w:r>
            <w:r w:rsidRPr="003539A7">
              <w:lastRenderedPageBreak/>
              <w:t>a text</w:t>
            </w:r>
          </w:p>
          <w:p w14:paraId="1F5D9E8B" w14:textId="77777777" w:rsidR="00056D7C" w:rsidRPr="003539A7" w:rsidRDefault="00056D7C" w:rsidP="00452AF8">
            <w:pPr>
              <w:pStyle w:val="BulletedList"/>
              <w:numPr>
                <w:ilvl w:val="0"/>
                <w:numId w:val="3"/>
              </w:numPr>
              <w:ind w:left="360"/>
            </w:pPr>
            <w:r>
              <w:t>Practice key informative/explanatory writing skills</w:t>
            </w:r>
          </w:p>
          <w:p w14:paraId="6597FCF5" w14:textId="77777777" w:rsidR="00056D7C" w:rsidRDefault="00056D7C" w:rsidP="00452AF8">
            <w:pPr>
              <w:pStyle w:val="BulletedList"/>
              <w:numPr>
                <w:ilvl w:val="0"/>
                <w:numId w:val="3"/>
              </w:numPr>
              <w:ind w:left="360"/>
            </w:pPr>
            <w:r>
              <w:t>Track rhetoric and how it advances the author’s purpose or point of view in the text</w:t>
            </w:r>
          </w:p>
          <w:p w14:paraId="30AF7BB9" w14:textId="1FA1C07F" w:rsidR="00833F25" w:rsidRPr="00044848" w:rsidRDefault="00056D7C" w:rsidP="00452AF8">
            <w:pPr>
              <w:pStyle w:val="BulletedList"/>
              <w:numPr>
                <w:ilvl w:val="0"/>
                <w:numId w:val="3"/>
              </w:numPr>
              <w:ind w:left="360"/>
            </w:pPr>
            <w:r>
              <w:t>Track ideas and their refinement or development over the course of the text</w:t>
            </w:r>
          </w:p>
        </w:tc>
        <w:tc>
          <w:tcPr>
            <w:tcW w:w="1530" w:type="dxa"/>
          </w:tcPr>
          <w:p w14:paraId="752EAFC4" w14:textId="77777777" w:rsidR="00833F25" w:rsidRPr="001E4E77" w:rsidRDefault="000B2DCA" w:rsidP="00F44671">
            <w:pPr>
              <w:pStyle w:val="TableText"/>
              <w:rPr>
                <w:b/>
              </w:rPr>
            </w:pPr>
            <w:r w:rsidRPr="001E4E77">
              <w:rPr>
                <w:b/>
              </w:rPr>
              <w:lastRenderedPageBreak/>
              <w:t>CCRA.R.8</w:t>
            </w:r>
          </w:p>
          <w:p w14:paraId="2E0D5556" w14:textId="77777777" w:rsidR="000B2DCA" w:rsidRPr="000949DE" w:rsidRDefault="000B2DCA" w:rsidP="00F44671">
            <w:pPr>
              <w:pStyle w:val="TableText"/>
              <w:rPr>
                <w:b/>
              </w:rPr>
            </w:pPr>
            <w:r w:rsidRPr="000949DE">
              <w:rPr>
                <w:b/>
              </w:rPr>
              <w:t>CCRA.R.9</w:t>
            </w:r>
          </w:p>
          <w:p w14:paraId="3064C7CE" w14:textId="77777777" w:rsidR="0003587B" w:rsidRPr="000949DE" w:rsidRDefault="0003587B" w:rsidP="0003587B">
            <w:pPr>
              <w:pStyle w:val="TableText"/>
              <w:rPr>
                <w:b/>
                <w:color w:val="000000" w:themeColor="text1"/>
              </w:rPr>
            </w:pPr>
            <w:r w:rsidRPr="000949DE">
              <w:rPr>
                <w:b/>
                <w:color w:val="000000" w:themeColor="text1"/>
              </w:rPr>
              <w:t>RL.11-12.2</w:t>
            </w:r>
          </w:p>
          <w:p w14:paraId="2551EEB2" w14:textId="77777777" w:rsidR="0003587B" w:rsidRPr="000949DE" w:rsidRDefault="0003587B" w:rsidP="0003587B">
            <w:pPr>
              <w:pStyle w:val="TableText"/>
              <w:rPr>
                <w:b/>
                <w:color w:val="000000" w:themeColor="text1"/>
              </w:rPr>
            </w:pPr>
            <w:r w:rsidRPr="000949DE">
              <w:rPr>
                <w:b/>
                <w:color w:val="000000" w:themeColor="text1"/>
              </w:rPr>
              <w:t>RL.11-12.4</w:t>
            </w:r>
          </w:p>
          <w:p w14:paraId="272CA68C" w14:textId="77777777" w:rsidR="000B2DCA" w:rsidRPr="000949DE" w:rsidRDefault="000B2DCA" w:rsidP="00F44671">
            <w:pPr>
              <w:pStyle w:val="TableText"/>
              <w:rPr>
                <w:b/>
                <w:color w:val="000000" w:themeColor="text1"/>
              </w:rPr>
            </w:pPr>
            <w:r w:rsidRPr="000949DE">
              <w:rPr>
                <w:b/>
                <w:color w:val="000000" w:themeColor="text1"/>
              </w:rPr>
              <w:t>RI.11-12.2</w:t>
            </w:r>
          </w:p>
          <w:p w14:paraId="09258741" w14:textId="77777777" w:rsidR="000B2DCA" w:rsidRPr="000949DE" w:rsidRDefault="000B2DCA" w:rsidP="00F44671">
            <w:pPr>
              <w:pStyle w:val="TableText"/>
              <w:rPr>
                <w:b/>
                <w:color w:val="000000" w:themeColor="text1"/>
              </w:rPr>
            </w:pPr>
            <w:r w:rsidRPr="000949DE">
              <w:rPr>
                <w:b/>
                <w:color w:val="000000" w:themeColor="text1"/>
              </w:rPr>
              <w:t>RI.11-12.3</w:t>
            </w:r>
          </w:p>
          <w:p w14:paraId="08960840" w14:textId="77777777" w:rsidR="000B2DCA" w:rsidRPr="000949DE" w:rsidRDefault="000B2DCA" w:rsidP="00F44671">
            <w:pPr>
              <w:pStyle w:val="TableText"/>
              <w:rPr>
                <w:b/>
                <w:color w:val="000000" w:themeColor="text1"/>
              </w:rPr>
            </w:pPr>
            <w:r w:rsidRPr="000949DE">
              <w:rPr>
                <w:b/>
                <w:color w:val="000000" w:themeColor="text1"/>
              </w:rPr>
              <w:t>RI.11-12.6</w:t>
            </w:r>
          </w:p>
          <w:p w14:paraId="2E313924" w14:textId="77777777" w:rsidR="000B2DCA" w:rsidRPr="000949DE" w:rsidRDefault="000B2DCA" w:rsidP="00F44671">
            <w:pPr>
              <w:pStyle w:val="TableText"/>
              <w:rPr>
                <w:b/>
              </w:rPr>
            </w:pPr>
            <w:r w:rsidRPr="000949DE">
              <w:rPr>
                <w:b/>
              </w:rPr>
              <w:t>W.11-12.2.a-f</w:t>
            </w:r>
          </w:p>
          <w:p w14:paraId="0D754629" w14:textId="77777777" w:rsidR="000B2DCA" w:rsidRDefault="000B2DCA" w:rsidP="00F44671">
            <w:pPr>
              <w:pStyle w:val="TableText"/>
            </w:pPr>
            <w:r w:rsidRPr="000A39C7">
              <w:t>W.11-12.4</w:t>
            </w:r>
          </w:p>
          <w:p w14:paraId="1141F725" w14:textId="663457BF" w:rsidR="000B2DCA" w:rsidRPr="000949DE" w:rsidRDefault="000B2DCA" w:rsidP="00F44671">
            <w:pPr>
              <w:pStyle w:val="TableText"/>
              <w:rPr>
                <w:b/>
              </w:rPr>
            </w:pPr>
            <w:r w:rsidRPr="000949DE">
              <w:rPr>
                <w:b/>
              </w:rPr>
              <w:t>W.11-12.5</w:t>
            </w:r>
          </w:p>
          <w:p w14:paraId="151E9D64" w14:textId="77777777" w:rsidR="000B2DCA" w:rsidRDefault="000B2DCA" w:rsidP="00F44671">
            <w:pPr>
              <w:pStyle w:val="TableText"/>
            </w:pPr>
            <w:r>
              <w:t>W.11-12.9.a, b</w:t>
            </w:r>
          </w:p>
          <w:p w14:paraId="244B52ED" w14:textId="77777777" w:rsidR="000B2DCA" w:rsidRDefault="000B2DCA" w:rsidP="00F44671">
            <w:pPr>
              <w:pStyle w:val="TableText"/>
            </w:pPr>
            <w:r>
              <w:t>SL.11-12.1.a</w:t>
            </w:r>
          </w:p>
          <w:p w14:paraId="371CA807" w14:textId="77777777" w:rsidR="000B2DCA" w:rsidRDefault="000B2DCA" w:rsidP="00F44671">
            <w:pPr>
              <w:pStyle w:val="TableText"/>
            </w:pPr>
            <w:r w:rsidRPr="000A39C7">
              <w:t>SL.11-12.3</w:t>
            </w:r>
          </w:p>
          <w:p w14:paraId="37328B12" w14:textId="77777777" w:rsidR="00C37145" w:rsidRPr="00A21358" w:rsidRDefault="00C37145" w:rsidP="00F44671">
            <w:pPr>
              <w:pStyle w:val="TableText"/>
              <w:rPr>
                <w:b/>
              </w:rPr>
            </w:pPr>
            <w:r w:rsidRPr="00A21358">
              <w:rPr>
                <w:b/>
              </w:rPr>
              <w:t>L.11-12.1</w:t>
            </w:r>
          </w:p>
          <w:p w14:paraId="290E10ED" w14:textId="366E2D3E" w:rsidR="00C37145" w:rsidRPr="00A21358" w:rsidRDefault="00C37145" w:rsidP="00F44671">
            <w:pPr>
              <w:pStyle w:val="TableText"/>
              <w:rPr>
                <w:b/>
              </w:rPr>
            </w:pPr>
            <w:r w:rsidRPr="00A21358">
              <w:rPr>
                <w:b/>
              </w:rPr>
              <w:t>L.11-12.2</w:t>
            </w:r>
          </w:p>
          <w:p w14:paraId="258687F8" w14:textId="77777777" w:rsidR="000B2DCA" w:rsidRDefault="000B2DCA" w:rsidP="00F44671">
            <w:pPr>
              <w:pStyle w:val="TableText"/>
            </w:pPr>
            <w:r>
              <w:t>L.11-12.4.a</w:t>
            </w:r>
          </w:p>
          <w:p w14:paraId="6A853F51" w14:textId="1D409359" w:rsidR="000B2DCA" w:rsidRPr="000949DE" w:rsidRDefault="000B2DCA" w:rsidP="00F44671">
            <w:pPr>
              <w:pStyle w:val="TableText"/>
              <w:rPr>
                <w:b/>
              </w:rPr>
            </w:pPr>
            <w:r w:rsidRPr="000949DE">
              <w:rPr>
                <w:b/>
              </w:rPr>
              <w:t>L.11-12.5.a</w:t>
            </w:r>
          </w:p>
        </w:tc>
        <w:tc>
          <w:tcPr>
            <w:tcW w:w="2430" w:type="dxa"/>
          </w:tcPr>
          <w:p w14:paraId="2CA5C910" w14:textId="77777777" w:rsidR="003C7F5C" w:rsidRPr="00044848" w:rsidRDefault="00056D7C" w:rsidP="00044848">
            <w:pPr>
              <w:pStyle w:val="TableText"/>
              <w:rPr>
                <w:b/>
              </w:rPr>
            </w:pPr>
            <w:r w:rsidRPr="00044848">
              <w:rPr>
                <w:b/>
              </w:rPr>
              <w:t>End-of-Unit:</w:t>
            </w:r>
          </w:p>
          <w:p w14:paraId="21102401" w14:textId="77777777" w:rsidR="00A160C3" w:rsidRDefault="00056D7C" w:rsidP="00A160C3">
            <w:pPr>
              <w:pStyle w:val="TableText"/>
            </w:pPr>
            <w:r>
              <w:t xml:space="preserve">Students write a multi-paragraph essay responding to </w:t>
            </w:r>
            <w:r w:rsidR="003C7F5C">
              <w:t xml:space="preserve">the following prompt: </w:t>
            </w:r>
            <w:r w:rsidR="00A160C3">
              <w:rPr>
                <w:highlight w:val="white"/>
              </w:rPr>
              <w:t>Consider a central idea in Lorde’s “</w:t>
            </w:r>
            <w:r w:rsidR="00A160C3" w:rsidRPr="00A85F4D">
              <w:rPr>
                <w:highlight w:val="white"/>
              </w:rPr>
              <w:t>From the House of Yemanj</w:t>
            </w:r>
            <w:r w:rsidR="00A160C3" w:rsidRPr="00AB29FD">
              <w:rPr>
                <w:highlight w:val="white"/>
              </w:rPr>
              <w:t>á</w:t>
            </w:r>
            <w:r w:rsidR="00A160C3">
              <w:rPr>
                <w:highlight w:val="white"/>
              </w:rPr>
              <w:t xml:space="preserve">” or “An Address by Elizabeth Cady Stanton.” Identify a related or similar central idea in </w:t>
            </w:r>
            <w:r w:rsidR="00A160C3">
              <w:t xml:space="preserve">either Du Bois’s “Of Our Spiritual Strivings” from </w:t>
            </w:r>
            <w:r w:rsidR="00A160C3">
              <w:rPr>
                <w:i/>
              </w:rPr>
              <w:t>The Souls of Black Folk</w:t>
            </w:r>
            <w:r w:rsidR="00A160C3">
              <w:t xml:space="preserve"> or Washington’s “Atlanta Compromise Speech” and </w:t>
            </w:r>
            <w:r w:rsidR="00A160C3">
              <w:rPr>
                <w:highlight w:val="white"/>
              </w:rPr>
              <w:t xml:space="preserve">compare the approaches the authors take in </w:t>
            </w:r>
            <w:r w:rsidR="00A160C3">
              <w:rPr>
                <w:highlight w:val="white"/>
              </w:rPr>
              <w:lastRenderedPageBreak/>
              <w:t>developing a similar or related central idea. Discuss how each author uses at least one of the following to develop the related or similar central idea: word choice, rhetoric, point of view, or purpose.</w:t>
            </w:r>
          </w:p>
          <w:p w14:paraId="31992BAA" w14:textId="2D27D99E" w:rsidR="00833F25" w:rsidRPr="002E6E78" w:rsidRDefault="00833F25" w:rsidP="00A160C3"/>
        </w:tc>
      </w:tr>
    </w:tbl>
    <w:p w14:paraId="1268DD1E" w14:textId="1BAC2758" w:rsidR="00DB0103" w:rsidRPr="002C1A1C" w:rsidRDefault="00DB0103" w:rsidP="004B1E7B">
      <w:pPr>
        <w:rPr>
          <w:sz w:val="20"/>
        </w:rPr>
      </w:pPr>
    </w:p>
    <w:sectPr w:rsidR="00DB0103" w:rsidRPr="002C1A1C" w:rsidSect="001E37BA">
      <w:headerReference w:type="default" r:id="rId10"/>
      <w:footerReference w:type="even" r:id="rId11"/>
      <w:footerReference w:type="default" r:id="rId12"/>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6D8E" w14:textId="77777777" w:rsidR="009D4052" w:rsidRDefault="009D4052" w:rsidP="0053542D">
      <w:r>
        <w:separator/>
      </w:r>
    </w:p>
    <w:p w14:paraId="1CD8C5D1" w14:textId="77777777" w:rsidR="009D4052" w:rsidRDefault="009D4052" w:rsidP="0053542D"/>
  </w:endnote>
  <w:endnote w:type="continuationSeparator" w:id="0">
    <w:p w14:paraId="2FC344D7" w14:textId="77777777" w:rsidR="009D4052" w:rsidRDefault="009D4052" w:rsidP="0053542D">
      <w:r>
        <w:continuationSeparator/>
      </w:r>
    </w:p>
    <w:p w14:paraId="7134A68C" w14:textId="77777777" w:rsidR="009D4052" w:rsidRDefault="009D4052"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C106" w14:textId="77777777" w:rsidR="00044076" w:rsidRDefault="00044076"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EBCEDE1" w14:textId="77777777" w:rsidR="00044076" w:rsidRDefault="00044076" w:rsidP="0053542D">
    <w:pPr>
      <w:pStyle w:val="Footer"/>
    </w:pPr>
  </w:p>
  <w:p w14:paraId="20FE9D64" w14:textId="77777777" w:rsidR="00044076" w:rsidRDefault="00044076"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F253" w14:textId="77777777" w:rsidR="00044076" w:rsidRPr="00563CB8" w:rsidRDefault="00044076"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44076" w14:paraId="16978BAD" w14:textId="77777777" w:rsidTr="004F18FC">
      <w:trPr>
        <w:trHeight w:val="705"/>
      </w:trPr>
      <w:tc>
        <w:tcPr>
          <w:tcW w:w="4609" w:type="dxa"/>
          <w:shd w:val="clear" w:color="auto" w:fill="auto"/>
          <w:vAlign w:val="center"/>
        </w:tcPr>
        <w:p w14:paraId="33EF0CCE" w14:textId="2A581413" w:rsidR="00044076" w:rsidRPr="002E4C92" w:rsidRDefault="00044076" w:rsidP="005D7B93">
          <w:pPr>
            <w:pStyle w:val="FooterText"/>
          </w:pPr>
          <w:r w:rsidRPr="002E4C92">
            <w:t>File:</w:t>
          </w:r>
          <w:r w:rsidRPr="0039525B">
            <w:rPr>
              <w:b w:val="0"/>
            </w:rPr>
            <w:t xml:space="preserve"> </w:t>
          </w:r>
          <w:r>
            <w:rPr>
              <w:b w:val="0"/>
            </w:rPr>
            <w:t>11.2 Module Overview</w:t>
          </w:r>
          <w:r w:rsidRPr="002E4C92">
            <w:t xml:space="preserve"> Date:</w:t>
          </w:r>
          <w:r w:rsidRPr="0039525B">
            <w:rPr>
              <w:b w:val="0"/>
            </w:rPr>
            <w:t xml:space="preserve"> </w:t>
          </w:r>
          <w:r w:rsidR="00EE42EC">
            <w:rPr>
              <w:b w:val="0"/>
            </w:rPr>
            <w:t>9</w:t>
          </w:r>
          <w:r>
            <w:rPr>
              <w:b w:val="0"/>
            </w:rPr>
            <w:t>/</w:t>
          </w:r>
          <w:r w:rsidR="00EE42EC">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sidR="00EE42EC">
            <w:rPr>
              <w:b w:val="0"/>
            </w:rPr>
            <w:t>9</w:t>
          </w:r>
          <w:r w:rsidRPr="0039525B">
            <w:rPr>
              <w:b w:val="0"/>
            </w:rPr>
            <w:t>/201</w:t>
          </w:r>
          <w:r>
            <w:rPr>
              <w:b w:val="0"/>
            </w:rPr>
            <w:t>4</w:t>
          </w:r>
          <w:r w:rsidRPr="0039525B">
            <w:rPr>
              <w:b w:val="0"/>
            </w:rPr>
            <w:t xml:space="preserve"> </w:t>
          </w:r>
        </w:p>
        <w:p w14:paraId="74CB0C94" w14:textId="77777777" w:rsidR="00044076" w:rsidRPr="0039525B" w:rsidRDefault="00044076" w:rsidP="005D7B9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CAE907D" w14:textId="77777777" w:rsidR="00044076" w:rsidRPr="0039525B" w:rsidRDefault="00044076" w:rsidP="005D7B93">
          <w:pPr>
            <w:pStyle w:val="FooterText"/>
            <w:rPr>
              <w:b w:val="0"/>
              <w:i/>
            </w:rPr>
          </w:pPr>
          <w:r w:rsidRPr="0039525B">
            <w:rPr>
              <w:b w:val="0"/>
              <w:i/>
              <w:sz w:val="12"/>
            </w:rPr>
            <w:t>Creative Commons Attribution-NonCommercial-ShareAlike 3.0 Unported License</w:t>
          </w:r>
        </w:p>
        <w:p w14:paraId="3FE9D5AA" w14:textId="77777777" w:rsidR="00044076" w:rsidRPr="002E4C92" w:rsidRDefault="009D4052" w:rsidP="005D7B93">
          <w:pPr>
            <w:pStyle w:val="FooterText"/>
          </w:pPr>
          <w:hyperlink r:id="rId1" w:history="1">
            <w:r w:rsidR="0004407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8B6B4D3" w14:textId="77777777" w:rsidR="00044076" w:rsidRPr="002E4C92" w:rsidRDefault="00044076"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F389A">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443C2DD" w14:textId="77777777" w:rsidR="00044076" w:rsidRPr="002E4C92" w:rsidRDefault="00044076"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9223BA7" wp14:editId="21573BB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ED63B32" w14:textId="77777777" w:rsidR="00044076" w:rsidRPr="00455B4A" w:rsidRDefault="00044076"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B8B2" w14:textId="77777777" w:rsidR="009D4052" w:rsidRDefault="009D4052" w:rsidP="0053542D">
      <w:r>
        <w:separator/>
      </w:r>
    </w:p>
    <w:p w14:paraId="4BC7773B" w14:textId="77777777" w:rsidR="009D4052" w:rsidRDefault="009D4052" w:rsidP="0053542D"/>
  </w:footnote>
  <w:footnote w:type="continuationSeparator" w:id="0">
    <w:p w14:paraId="34267D14" w14:textId="77777777" w:rsidR="009D4052" w:rsidRDefault="009D4052" w:rsidP="0053542D">
      <w:r>
        <w:continuationSeparator/>
      </w:r>
    </w:p>
    <w:p w14:paraId="43993F08" w14:textId="77777777" w:rsidR="009D4052" w:rsidRDefault="009D4052"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708"/>
      <w:gridCol w:w="2430"/>
      <w:gridCol w:w="3438"/>
    </w:tblGrid>
    <w:tr w:rsidR="00044076" w:rsidRPr="005D7B93" w14:paraId="200F0745" w14:textId="77777777">
      <w:tc>
        <w:tcPr>
          <w:tcW w:w="3708" w:type="dxa"/>
        </w:tcPr>
        <w:p w14:paraId="0C2E6267" w14:textId="77777777" w:rsidR="00044076" w:rsidRPr="00195F63" w:rsidRDefault="00044076" w:rsidP="005D7B93">
          <w:pPr>
            <w:pStyle w:val="PageHeader"/>
          </w:pPr>
          <w:r w:rsidRPr="00195F63">
            <w:t>NYS Common Core ELA &amp; Literacy Curriculum</w:t>
          </w:r>
        </w:p>
      </w:tc>
      <w:tc>
        <w:tcPr>
          <w:tcW w:w="2430" w:type="dxa"/>
          <w:vAlign w:val="center"/>
        </w:tcPr>
        <w:p w14:paraId="6A81BE8A" w14:textId="77777777" w:rsidR="00044076" w:rsidRPr="005D7B93" w:rsidRDefault="00044076" w:rsidP="005D7B93">
          <w:pPr>
            <w:jc w:val="center"/>
          </w:pPr>
          <w:r w:rsidRPr="005D7B93">
            <w:t>D R A F T</w:t>
          </w:r>
        </w:p>
      </w:tc>
      <w:tc>
        <w:tcPr>
          <w:tcW w:w="3438" w:type="dxa"/>
        </w:tcPr>
        <w:p w14:paraId="0E77AC05" w14:textId="5CBFE8F3" w:rsidR="00044076" w:rsidRPr="005D7B93" w:rsidRDefault="00044076" w:rsidP="00563648">
          <w:pPr>
            <w:pStyle w:val="PageHeader"/>
            <w:jc w:val="right"/>
            <w:rPr>
              <w:b w:val="0"/>
            </w:rPr>
          </w:pPr>
          <w:r w:rsidRPr="005D7B93">
            <w:rPr>
              <w:b w:val="0"/>
            </w:rPr>
            <w:t xml:space="preserve">Grade </w:t>
          </w:r>
          <w:r>
            <w:rPr>
              <w:b w:val="0"/>
            </w:rPr>
            <w:t>11</w:t>
          </w:r>
          <w:r w:rsidRPr="005D7B93">
            <w:rPr>
              <w:b w:val="0"/>
            </w:rPr>
            <w:t xml:space="preserve"> • Module </w:t>
          </w:r>
          <w:r>
            <w:rPr>
              <w:b w:val="0"/>
            </w:rPr>
            <w:t>2</w:t>
          </w:r>
          <w:r w:rsidR="00EE42EC">
            <w:rPr>
              <w:b w:val="0"/>
            </w:rPr>
            <w:t xml:space="preserve"> Overview</w:t>
          </w:r>
        </w:p>
      </w:tc>
    </w:tr>
  </w:tbl>
  <w:p w14:paraId="7B96B888" w14:textId="77777777" w:rsidR="00044076" w:rsidRPr="00AB17A8" w:rsidRDefault="00044076" w:rsidP="005D7B9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0C3C"/>
    <w:multiLevelType w:val="hybridMultilevel"/>
    <w:tmpl w:val="F4E0C4D6"/>
    <w:lvl w:ilvl="0" w:tplc="D0D29ACA">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81AAA"/>
    <w:multiLevelType w:val="hybridMultilevel"/>
    <w:tmpl w:val="63D8D5DA"/>
    <w:lvl w:ilvl="0" w:tplc="FB70A1DE">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A65D1"/>
    <w:multiLevelType w:val="hybridMultilevel"/>
    <w:tmpl w:val="069E2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900EC3"/>
    <w:multiLevelType w:val="hybridMultilevel"/>
    <w:tmpl w:val="A99E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E12BE"/>
    <w:multiLevelType w:val="hybridMultilevel"/>
    <w:tmpl w:val="069E2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7447"/>
    <w:multiLevelType w:val="hybridMultilevel"/>
    <w:tmpl w:val="50D6A02E"/>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47CBC"/>
    <w:multiLevelType w:val="hybridMultilevel"/>
    <w:tmpl w:val="6CB27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DC67CD"/>
    <w:multiLevelType w:val="hybridMultilevel"/>
    <w:tmpl w:val="825A2C0E"/>
    <w:lvl w:ilvl="0" w:tplc="7D34D1D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110F6"/>
    <w:multiLevelType w:val="hybridMultilevel"/>
    <w:tmpl w:val="B2E47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74A39"/>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0"/>
  </w:num>
  <w:num w:numId="5">
    <w:abstractNumId w:val="14"/>
  </w:num>
  <w:num w:numId="6">
    <w:abstractNumId w:val="5"/>
    <w:lvlOverride w:ilvl="0">
      <w:startOverride w:val="1"/>
    </w:lvlOverride>
  </w:num>
  <w:num w:numId="7">
    <w:abstractNumId w:val="16"/>
  </w:num>
  <w:num w:numId="8">
    <w:abstractNumId w:val="1"/>
  </w:num>
  <w:num w:numId="9">
    <w:abstractNumId w:val="13"/>
  </w:num>
  <w:num w:numId="10">
    <w:abstractNumId w:val="2"/>
  </w:num>
  <w:num w:numId="11">
    <w:abstractNumId w:val="18"/>
  </w:num>
  <w:num w:numId="12">
    <w:abstractNumId w:val="15"/>
  </w:num>
  <w:num w:numId="13">
    <w:abstractNumId w:val="17"/>
  </w:num>
  <w:num w:numId="14">
    <w:abstractNumId w:val="3"/>
  </w:num>
  <w:num w:numId="15">
    <w:abstractNumId w:val="12"/>
  </w:num>
  <w:num w:numId="16">
    <w:abstractNumId w:val="10"/>
  </w:num>
  <w:num w:numId="17">
    <w:abstractNumId w:val="7"/>
  </w:num>
  <w:num w:numId="18">
    <w:abstractNumId w:val="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90B"/>
    <w:rsid w:val="000028A2"/>
    <w:rsid w:val="00004016"/>
    <w:rsid w:val="00004075"/>
    <w:rsid w:val="00011EAC"/>
    <w:rsid w:val="000217CF"/>
    <w:rsid w:val="00021A18"/>
    <w:rsid w:val="00023460"/>
    <w:rsid w:val="00023BDF"/>
    <w:rsid w:val="000249E6"/>
    <w:rsid w:val="000255C3"/>
    <w:rsid w:val="0002683E"/>
    <w:rsid w:val="0002780A"/>
    <w:rsid w:val="00031428"/>
    <w:rsid w:val="00033071"/>
    <w:rsid w:val="0003587B"/>
    <w:rsid w:val="00036C6B"/>
    <w:rsid w:val="0003702F"/>
    <w:rsid w:val="00044076"/>
    <w:rsid w:val="00044848"/>
    <w:rsid w:val="00046142"/>
    <w:rsid w:val="00046518"/>
    <w:rsid w:val="00050ABE"/>
    <w:rsid w:val="00052E43"/>
    <w:rsid w:val="00055986"/>
    <w:rsid w:val="00055DE4"/>
    <w:rsid w:val="00056D7C"/>
    <w:rsid w:val="00064B6E"/>
    <w:rsid w:val="00066F36"/>
    <w:rsid w:val="00070914"/>
    <w:rsid w:val="00070C45"/>
    <w:rsid w:val="00071519"/>
    <w:rsid w:val="00072209"/>
    <w:rsid w:val="0007357D"/>
    <w:rsid w:val="00075AFF"/>
    <w:rsid w:val="000764FA"/>
    <w:rsid w:val="00076926"/>
    <w:rsid w:val="00077E34"/>
    <w:rsid w:val="00082E25"/>
    <w:rsid w:val="00083558"/>
    <w:rsid w:val="00084D8E"/>
    <w:rsid w:val="0009031A"/>
    <w:rsid w:val="00092B82"/>
    <w:rsid w:val="00093D68"/>
    <w:rsid w:val="000949DE"/>
    <w:rsid w:val="00095CC3"/>
    <w:rsid w:val="000A1469"/>
    <w:rsid w:val="000A4D24"/>
    <w:rsid w:val="000A747B"/>
    <w:rsid w:val="000A753B"/>
    <w:rsid w:val="000B1FCD"/>
    <w:rsid w:val="000B2DCA"/>
    <w:rsid w:val="000B2EC8"/>
    <w:rsid w:val="000B4305"/>
    <w:rsid w:val="000B5197"/>
    <w:rsid w:val="000B68AF"/>
    <w:rsid w:val="000B7673"/>
    <w:rsid w:val="000C1995"/>
    <w:rsid w:val="000C2891"/>
    <w:rsid w:val="000C5A32"/>
    <w:rsid w:val="000C6D26"/>
    <w:rsid w:val="000C737E"/>
    <w:rsid w:val="000D1348"/>
    <w:rsid w:val="000D37D9"/>
    <w:rsid w:val="000D39DE"/>
    <w:rsid w:val="000D3C94"/>
    <w:rsid w:val="000D4B10"/>
    <w:rsid w:val="000D53D9"/>
    <w:rsid w:val="000D6D4A"/>
    <w:rsid w:val="000E1081"/>
    <w:rsid w:val="000E14B6"/>
    <w:rsid w:val="000E2BA4"/>
    <w:rsid w:val="000E42C4"/>
    <w:rsid w:val="000E53DC"/>
    <w:rsid w:val="000E5EA9"/>
    <w:rsid w:val="000F01CD"/>
    <w:rsid w:val="000F0B83"/>
    <w:rsid w:val="000F4BCA"/>
    <w:rsid w:val="00100232"/>
    <w:rsid w:val="0010267B"/>
    <w:rsid w:val="00104393"/>
    <w:rsid w:val="001047AD"/>
    <w:rsid w:val="001047F1"/>
    <w:rsid w:val="00104D4C"/>
    <w:rsid w:val="001056C3"/>
    <w:rsid w:val="0010615D"/>
    <w:rsid w:val="00106286"/>
    <w:rsid w:val="00110E26"/>
    <w:rsid w:val="0011533E"/>
    <w:rsid w:val="00116C2D"/>
    <w:rsid w:val="001239BC"/>
    <w:rsid w:val="00125F92"/>
    <w:rsid w:val="00126452"/>
    <w:rsid w:val="00126F5B"/>
    <w:rsid w:val="001274D3"/>
    <w:rsid w:val="00130760"/>
    <w:rsid w:val="0013431D"/>
    <w:rsid w:val="001369A1"/>
    <w:rsid w:val="00137A27"/>
    <w:rsid w:val="00141B8F"/>
    <w:rsid w:val="001438B4"/>
    <w:rsid w:val="00143CFE"/>
    <w:rsid w:val="00144345"/>
    <w:rsid w:val="0014446D"/>
    <w:rsid w:val="00144A3E"/>
    <w:rsid w:val="00146029"/>
    <w:rsid w:val="00153712"/>
    <w:rsid w:val="001552F7"/>
    <w:rsid w:val="00156097"/>
    <w:rsid w:val="00156448"/>
    <w:rsid w:val="00156811"/>
    <w:rsid w:val="00157CC5"/>
    <w:rsid w:val="0016098C"/>
    <w:rsid w:val="0016224D"/>
    <w:rsid w:val="00164775"/>
    <w:rsid w:val="00167FC8"/>
    <w:rsid w:val="00177362"/>
    <w:rsid w:val="001774FC"/>
    <w:rsid w:val="001820B8"/>
    <w:rsid w:val="0018255A"/>
    <w:rsid w:val="0018380A"/>
    <w:rsid w:val="0019355F"/>
    <w:rsid w:val="00194FAD"/>
    <w:rsid w:val="00195F63"/>
    <w:rsid w:val="00196237"/>
    <w:rsid w:val="00197811"/>
    <w:rsid w:val="00197B59"/>
    <w:rsid w:val="001A4BA7"/>
    <w:rsid w:val="001A5605"/>
    <w:rsid w:val="001A6869"/>
    <w:rsid w:val="001B040B"/>
    <w:rsid w:val="001B0754"/>
    <w:rsid w:val="001B0DF4"/>
    <w:rsid w:val="001B3665"/>
    <w:rsid w:val="001B7B35"/>
    <w:rsid w:val="001C0CE0"/>
    <w:rsid w:val="001C15BF"/>
    <w:rsid w:val="001D30EE"/>
    <w:rsid w:val="001D3CB5"/>
    <w:rsid w:val="001D47CD"/>
    <w:rsid w:val="001D5862"/>
    <w:rsid w:val="001D5F33"/>
    <w:rsid w:val="001E0AB4"/>
    <w:rsid w:val="001E2199"/>
    <w:rsid w:val="001E22F4"/>
    <w:rsid w:val="001E37BA"/>
    <w:rsid w:val="001E4B01"/>
    <w:rsid w:val="001E4E77"/>
    <w:rsid w:val="001F23EB"/>
    <w:rsid w:val="001F70A2"/>
    <w:rsid w:val="00201069"/>
    <w:rsid w:val="002112E7"/>
    <w:rsid w:val="00211F07"/>
    <w:rsid w:val="00216B3C"/>
    <w:rsid w:val="00220330"/>
    <w:rsid w:val="00220BBF"/>
    <w:rsid w:val="00222F47"/>
    <w:rsid w:val="00223ADD"/>
    <w:rsid w:val="00226FD6"/>
    <w:rsid w:val="00232C61"/>
    <w:rsid w:val="00233F26"/>
    <w:rsid w:val="00235FE2"/>
    <w:rsid w:val="002363FD"/>
    <w:rsid w:val="00236585"/>
    <w:rsid w:val="00241836"/>
    <w:rsid w:val="00243A60"/>
    <w:rsid w:val="00243D4B"/>
    <w:rsid w:val="0024402A"/>
    <w:rsid w:val="00251FE5"/>
    <w:rsid w:val="00257517"/>
    <w:rsid w:val="0026003C"/>
    <w:rsid w:val="002613C2"/>
    <w:rsid w:val="00270B5B"/>
    <w:rsid w:val="00271FB3"/>
    <w:rsid w:val="002743DA"/>
    <w:rsid w:val="0027474F"/>
    <w:rsid w:val="00281096"/>
    <w:rsid w:val="00282318"/>
    <w:rsid w:val="00290B5A"/>
    <w:rsid w:val="00292CE7"/>
    <w:rsid w:val="00295083"/>
    <w:rsid w:val="00296C27"/>
    <w:rsid w:val="00296DF9"/>
    <w:rsid w:val="002A0219"/>
    <w:rsid w:val="002A14F7"/>
    <w:rsid w:val="002A2CB8"/>
    <w:rsid w:val="002A3551"/>
    <w:rsid w:val="002A368A"/>
    <w:rsid w:val="002B038F"/>
    <w:rsid w:val="002B0E38"/>
    <w:rsid w:val="002B1C4D"/>
    <w:rsid w:val="002B32A4"/>
    <w:rsid w:val="002B7134"/>
    <w:rsid w:val="002C1A1C"/>
    <w:rsid w:val="002C1AC7"/>
    <w:rsid w:val="002C3D2A"/>
    <w:rsid w:val="002C4A36"/>
    <w:rsid w:val="002C7633"/>
    <w:rsid w:val="002D4881"/>
    <w:rsid w:val="002D61BC"/>
    <w:rsid w:val="002D61FA"/>
    <w:rsid w:val="002D6F2E"/>
    <w:rsid w:val="002D7409"/>
    <w:rsid w:val="002E578D"/>
    <w:rsid w:val="002E6E78"/>
    <w:rsid w:val="002F2A22"/>
    <w:rsid w:val="002F2FA7"/>
    <w:rsid w:val="002F49A6"/>
    <w:rsid w:val="002F4C9A"/>
    <w:rsid w:val="00300896"/>
    <w:rsid w:val="0030112D"/>
    <w:rsid w:val="00301E05"/>
    <w:rsid w:val="00302AD6"/>
    <w:rsid w:val="003031B0"/>
    <w:rsid w:val="00304B1D"/>
    <w:rsid w:val="003061E6"/>
    <w:rsid w:val="003078C5"/>
    <w:rsid w:val="00307AAB"/>
    <w:rsid w:val="003101FB"/>
    <w:rsid w:val="00312976"/>
    <w:rsid w:val="00316204"/>
    <w:rsid w:val="00316525"/>
    <w:rsid w:val="003168C1"/>
    <w:rsid w:val="00330707"/>
    <w:rsid w:val="003309D4"/>
    <w:rsid w:val="0033272B"/>
    <w:rsid w:val="00333E72"/>
    <w:rsid w:val="00335D73"/>
    <w:rsid w:val="00335FCC"/>
    <w:rsid w:val="0033613F"/>
    <w:rsid w:val="00336B77"/>
    <w:rsid w:val="00345D8D"/>
    <w:rsid w:val="003465BC"/>
    <w:rsid w:val="00352B3C"/>
    <w:rsid w:val="0036447D"/>
    <w:rsid w:val="00365911"/>
    <w:rsid w:val="00365D46"/>
    <w:rsid w:val="00366C68"/>
    <w:rsid w:val="00367E80"/>
    <w:rsid w:val="003732E4"/>
    <w:rsid w:val="00376B13"/>
    <w:rsid w:val="003777C1"/>
    <w:rsid w:val="003803AE"/>
    <w:rsid w:val="0038568E"/>
    <w:rsid w:val="003909B3"/>
    <w:rsid w:val="003911AB"/>
    <w:rsid w:val="00391664"/>
    <w:rsid w:val="00397B05"/>
    <w:rsid w:val="003A02F2"/>
    <w:rsid w:val="003A1237"/>
    <w:rsid w:val="003A4EB5"/>
    <w:rsid w:val="003A54AF"/>
    <w:rsid w:val="003A5703"/>
    <w:rsid w:val="003A5941"/>
    <w:rsid w:val="003B09AF"/>
    <w:rsid w:val="003B38DB"/>
    <w:rsid w:val="003B422E"/>
    <w:rsid w:val="003B6864"/>
    <w:rsid w:val="003B7F16"/>
    <w:rsid w:val="003C1031"/>
    <w:rsid w:val="003C19C6"/>
    <w:rsid w:val="003C7F5C"/>
    <w:rsid w:val="003D109B"/>
    <w:rsid w:val="003E0070"/>
    <w:rsid w:val="003E7F4F"/>
    <w:rsid w:val="003F0586"/>
    <w:rsid w:val="003F0919"/>
    <w:rsid w:val="003F201D"/>
    <w:rsid w:val="003F231E"/>
    <w:rsid w:val="003F28CE"/>
    <w:rsid w:val="003F56D6"/>
    <w:rsid w:val="003F5879"/>
    <w:rsid w:val="003F5EE4"/>
    <w:rsid w:val="00400FE5"/>
    <w:rsid w:val="004044B3"/>
    <w:rsid w:val="004056E4"/>
    <w:rsid w:val="0040675C"/>
    <w:rsid w:val="00410E10"/>
    <w:rsid w:val="004143F6"/>
    <w:rsid w:val="004147B8"/>
    <w:rsid w:val="00416FB7"/>
    <w:rsid w:val="00417D6B"/>
    <w:rsid w:val="00420CA5"/>
    <w:rsid w:val="004229B6"/>
    <w:rsid w:val="00423AC3"/>
    <w:rsid w:val="00431693"/>
    <w:rsid w:val="00433BA6"/>
    <w:rsid w:val="004341A4"/>
    <w:rsid w:val="00434DDD"/>
    <w:rsid w:val="0043571D"/>
    <w:rsid w:val="00435823"/>
    <w:rsid w:val="0043650E"/>
    <w:rsid w:val="0044161E"/>
    <w:rsid w:val="00442DC1"/>
    <w:rsid w:val="00445184"/>
    <w:rsid w:val="00446F7A"/>
    <w:rsid w:val="0045159D"/>
    <w:rsid w:val="00452AF8"/>
    <w:rsid w:val="00455B4A"/>
    <w:rsid w:val="00460F15"/>
    <w:rsid w:val="0046347A"/>
    <w:rsid w:val="00464EB4"/>
    <w:rsid w:val="004718F5"/>
    <w:rsid w:val="00473161"/>
    <w:rsid w:val="0047514B"/>
    <w:rsid w:val="00476A72"/>
    <w:rsid w:val="00477532"/>
    <w:rsid w:val="0048319D"/>
    <w:rsid w:val="00483D52"/>
    <w:rsid w:val="00494436"/>
    <w:rsid w:val="00496383"/>
    <w:rsid w:val="004A3BBC"/>
    <w:rsid w:val="004B1E7B"/>
    <w:rsid w:val="004B6970"/>
    <w:rsid w:val="004B6F2E"/>
    <w:rsid w:val="004B7197"/>
    <w:rsid w:val="004C0635"/>
    <w:rsid w:val="004C0E98"/>
    <w:rsid w:val="004C21AA"/>
    <w:rsid w:val="004C27A6"/>
    <w:rsid w:val="004C7B97"/>
    <w:rsid w:val="004D4F66"/>
    <w:rsid w:val="004D5EF1"/>
    <w:rsid w:val="004E1440"/>
    <w:rsid w:val="004E259C"/>
    <w:rsid w:val="004E4124"/>
    <w:rsid w:val="004E4224"/>
    <w:rsid w:val="004E53F1"/>
    <w:rsid w:val="004E64BC"/>
    <w:rsid w:val="004E6EAE"/>
    <w:rsid w:val="004E75D2"/>
    <w:rsid w:val="004F18FC"/>
    <w:rsid w:val="004F24C0"/>
    <w:rsid w:val="004F7245"/>
    <w:rsid w:val="0050032B"/>
    <w:rsid w:val="00503BF2"/>
    <w:rsid w:val="005051E1"/>
    <w:rsid w:val="005055F3"/>
    <w:rsid w:val="00507133"/>
    <w:rsid w:val="005122B6"/>
    <w:rsid w:val="00513432"/>
    <w:rsid w:val="00515E40"/>
    <w:rsid w:val="0051758C"/>
    <w:rsid w:val="0052031C"/>
    <w:rsid w:val="005250C9"/>
    <w:rsid w:val="00526296"/>
    <w:rsid w:val="00527B8D"/>
    <w:rsid w:val="0053062F"/>
    <w:rsid w:val="00531FF8"/>
    <w:rsid w:val="005338FF"/>
    <w:rsid w:val="0053542D"/>
    <w:rsid w:val="00536F45"/>
    <w:rsid w:val="00543AD5"/>
    <w:rsid w:val="00544BB1"/>
    <w:rsid w:val="00546C3C"/>
    <w:rsid w:val="005477E2"/>
    <w:rsid w:val="00551479"/>
    <w:rsid w:val="0055161C"/>
    <w:rsid w:val="005517D3"/>
    <w:rsid w:val="00553517"/>
    <w:rsid w:val="0055381B"/>
    <w:rsid w:val="00554C87"/>
    <w:rsid w:val="00554D72"/>
    <w:rsid w:val="00562B23"/>
    <w:rsid w:val="00563648"/>
    <w:rsid w:val="0056414A"/>
    <w:rsid w:val="00564268"/>
    <w:rsid w:val="00565582"/>
    <w:rsid w:val="00565813"/>
    <w:rsid w:val="005710DA"/>
    <w:rsid w:val="00572AED"/>
    <w:rsid w:val="00574442"/>
    <w:rsid w:val="00574BC9"/>
    <w:rsid w:val="00580988"/>
    <w:rsid w:val="005815A2"/>
    <w:rsid w:val="00584E99"/>
    <w:rsid w:val="00587095"/>
    <w:rsid w:val="0059012E"/>
    <w:rsid w:val="005956D0"/>
    <w:rsid w:val="00595C0E"/>
    <w:rsid w:val="00595D4D"/>
    <w:rsid w:val="005968D0"/>
    <w:rsid w:val="00596F95"/>
    <w:rsid w:val="00597257"/>
    <w:rsid w:val="005A1241"/>
    <w:rsid w:val="005A2A90"/>
    <w:rsid w:val="005A6398"/>
    <w:rsid w:val="005B286F"/>
    <w:rsid w:val="005B528A"/>
    <w:rsid w:val="005B7DD8"/>
    <w:rsid w:val="005C0ADB"/>
    <w:rsid w:val="005C2421"/>
    <w:rsid w:val="005C7885"/>
    <w:rsid w:val="005D7B93"/>
    <w:rsid w:val="005E2338"/>
    <w:rsid w:val="005E3B03"/>
    <w:rsid w:val="005E49B6"/>
    <w:rsid w:val="005E60AA"/>
    <w:rsid w:val="005E7069"/>
    <w:rsid w:val="005F37FE"/>
    <w:rsid w:val="005F6B44"/>
    <w:rsid w:val="00600670"/>
    <w:rsid w:val="00603148"/>
    <w:rsid w:val="00604BCA"/>
    <w:rsid w:val="006067DE"/>
    <w:rsid w:val="006071C2"/>
    <w:rsid w:val="00611DF8"/>
    <w:rsid w:val="00616036"/>
    <w:rsid w:val="006179CA"/>
    <w:rsid w:val="006206FA"/>
    <w:rsid w:val="00621558"/>
    <w:rsid w:val="00624A6B"/>
    <w:rsid w:val="00625287"/>
    <w:rsid w:val="0062712C"/>
    <w:rsid w:val="006311E3"/>
    <w:rsid w:val="0063412C"/>
    <w:rsid w:val="00634DE7"/>
    <w:rsid w:val="006369D6"/>
    <w:rsid w:val="006370F6"/>
    <w:rsid w:val="006372D4"/>
    <w:rsid w:val="00640B66"/>
    <w:rsid w:val="00644465"/>
    <w:rsid w:val="00644E67"/>
    <w:rsid w:val="00646A7F"/>
    <w:rsid w:val="00651053"/>
    <w:rsid w:val="006514D3"/>
    <w:rsid w:val="00656136"/>
    <w:rsid w:val="00660437"/>
    <w:rsid w:val="00666E77"/>
    <w:rsid w:val="00667049"/>
    <w:rsid w:val="006709CB"/>
    <w:rsid w:val="00674FEC"/>
    <w:rsid w:val="00676BE8"/>
    <w:rsid w:val="00677388"/>
    <w:rsid w:val="0067773F"/>
    <w:rsid w:val="00677BD5"/>
    <w:rsid w:val="006803D0"/>
    <w:rsid w:val="0068281B"/>
    <w:rsid w:val="00683E93"/>
    <w:rsid w:val="00686692"/>
    <w:rsid w:val="00686BD4"/>
    <w:rsid w:val="00686F80"/>
    <w:rsid w:val="00693E77"/>
    <w:rsid w:val="006A1935"/>
    <w:rsid w:val="006B08EB"/>
    <w:rsid w:val="006B4A47"/>
    <w:rsid w:val="006C1F12"/>
    <w:rsid w:val="006C3BF4"/>
    <w:rsid w:val="006C4AAB"/>
    <w:rsid w:val="006C7C04"/>
    <w:rsid w:val="006D1DA6"/>
    <w:rsid w:val="006E5C95"/>
    <w:rsid w:val="006E6130"/>
    <w:rsid w:val="006E6F6C"/>
    <w:rsid w:val="006F01AB"/>
    <w:rsid w:val="006F0893"/>
    <w:rsid w:val="006F1DAD"/>
    <w:rsid w:val="006F2D21"/>
    <w:rsid w:val="006F2FA9"/>
    <w:rsid w:val="006F4D5F"/>
    <w:rsid w:val="006F7FFA"/>
    <w:rsid w:val="00700FD2"/>
    <w:rsid w:val="00702294"/>
    <w:rsid w:val="00702FB0"/>
    <w:rsid w:val="0070579A"/>
    <w:rsid w:val="00713332"/>
    <w:rsid w:val="0071350E"/>
    <w:rsid w:val="00715699"/>
    <w:rsid w:val="00716BE6"/>
    <w:rsid w:val="00717BBC"/>
    <w:rsid w:val="00722525"/>
    <w:rsid w:val="00731F4F"/>
    <w:rsid w:val="007336E8"/>
    <w:rsid w:val="0073431C"/>
    <w:rsid w:val="00734DEF"/>
    <w:rsid w:val="007351DB"/>
    <w:rsid w:val="00736BBE"/>
    <w:rsid w:val="00737DCF"/>
    <w:rsid w:val="007403A8"/>
    <w:rsid w:val="007410FF"/>
    <w:rsid w:val="00742087"/>
    <w:rsid w:val="00750085"/>
    <w:rsid w:val="0075296B"/>
    <w:rsid w:val="00755D09"/>
    <w:rsid w:val="0075603B"/>
    <w:rsid w:val="007632E5"/>
    <w:rsid w:val="00763B2D"/>
    <w:rsid w:val="00775963"/>
    <w:rsid w:val="007771CC"/>
    <w:rsid w:val="00780013"/>
    <w:rsid w:val="0078007F"/>
    <w:rsid w:val="0078109E"/>
    <w:rsid w:val="007862F6"/>
    <w:rsid w:val="0078635E"/>
    <w:rsid w:val="00791789"/>
    <w:rsid w:val="00791F69"/>
    <w:rsid w:val="00792DE4"/>
    <w:rsid w:val="0079617F"/>
    <w:rsid w:val="007A546E"/>
    <w:rsid w:val="007B1EE3"/>
    <w:rsid w:val="007B59E5"/>
    <w:rsid w:val="007B722A"/>
    <w:rsid w:val="007C28B7"/>
    <w:rsid w:val="007C7750"/>
    <w:rsid w:val="007D06B4"/>
    <w:rsid w:val="007D0D65"/>
    <w:rsid w:val="007D0F58"/>
    <w:rsid w:val="007D26FE"/>
    <w:rsid w:val="007D2EBE"/>
    <w:rsid w:val="007D6380"/>
    <w:rsid w:val="007E1434"/>
    <w:rsid w:val="007E17B9"/>
    <w:rsid w:val="007E18FE"/>
    <w:rsid w:val="007F0698"/>
    <w:rsid w:val="007F1DE4"/>
    <w:rsid w:val="007F5630"/>
    <w:rsid w:val="008034D8"/>
    <w:rsid w:val="00806ADC"/>
    <w:rsid w:val="00811C07"/>
    <w:rsid w:val="00811C1B"/>
    <w:rsid w:val="00811F08"/>
    <w:rsid w:val="00813CE7"/>
    <w:rsid w:val="008208C3"/>
    <w:rsid w:val="00821FAA"/>
    <w:rsid w:val="0082522A"/>
    <w:rsid w:val="0082544C"/>
    <w:rsid w:val="008267F3"/>
    <w:rsid w:val="00827549"/>
    <w:rsid w:val="0082781B"/>
    <w:rsid w:val="008300BB"/>
    <w:rsid w:val="00833F25"/>
    <w:rsid w:val="0083416D"/>
    <w:rsid w:val="00834996"/>
    <w:rsid w:val="00835454"/>
    <w:rsid w:val="0084110C"/>
    <w:rsid w:val="00844F82"/>
    <w:rsid w:val="00845D88"/>
    <w:rsid w:val="00846AAD"/>
    <w:rsid w:val="008503C5"/>
    <w:rsid w:val="008535B2"/>
    <w:rsid w:val="008604D3"/>
    <w:rsid w:val="00860F86"/>
    <w:rsid w:val="0086194B"/>
    <w:rsid w:val="0086234D"/>
    <w:rsid w:val="00862DEB"/>
    <w:rsid w:val="00864651"/>
    <w:rsid w:val="00864B01"/>
    <w:rsid w:val="0086588D"/>
    <w:rsid w:val="00865A73"/>
    <w:rsid w:val="008669F4"/>
    <w:rsid w:val="008724D4"/>
    <w:rsid w:val="00872AD9"/>
    <w:rsid w:val="008758EE"/>
    <w:rsid w:val="00876DB7"/>
    <w:rsid w:val="0087709B"/>
    <w:rsid w:val="008778EF"/>
    <w:rsid w:val="00881013"/>
    <w:rsid w:val="00883F4A"/>
    <w:rsid w:val="00884674"/>
    <w:rsid w:val="008873D9"/>
    <w:rsid w:val="008878B1"/>
    <w:rsid w:val="00893DF4"/>
    <w:rsid w:val="00895C5C"/>
    <w:rsid w:val="008A2B08"/>
    <w:rsid w:val="008B008F"/>
    <w:rsid w:val="008B1966"/>
    <w:rsid w:val="008B22E4"/>
    <w:rsid w:val="008B51F6"/>
    <w:rsid w:val="008C1476"/>
    <w:rsid w:val="008C58AD"/>
    <w:rsid w:val="008D0282"/>
    <w:rsid w:val="008D35B2"/>
    <w:rsid w:val="008D40A1"/>
    <w:rsid w:val="008D46A5"/>
    <w:rsid w:val="008E02CB"/>
    <w:rsid w:val="008E6914"/>
    <w:rsid w:val="008E71E4"/>
    <w:rsid w:val="008F132E"/>
    <w:rsid w:val="008F213B"/>
    <w:rsid w:val="008F3744"/>
    <w:rsid w:val="008F502B"/>
    <w:rsid w:val="008F54B9"/>
    <w:rsid w:val="009003E6"/>
    <w:rsid w:val="0090631D"/>
    <w:rsid w:val="00912287"/>
    <w:rsid w:val="00912A83"/>
    <w:rsid w:val="00913D8A"/>
    <w:rsid w:val="0091483A"/>
    <w:rsid w:val="00914FC0"/>
    <w:rsid w:val="009153A4"/>
    <w:rsid w:val="00916BA7"/>
    <w:rsid w:val="0091793C"/>
    <w:rsid w:val="00924835"/>
    <w:rsid w:val="0092562A"/>
    <w:rsid w:val="00926832"/>
    <w:rsid w:val="00931F68"/>
    <w:rsid w:val="00932173"/>
    <w:rsid w:val="00935B62"/>
    <w:rsid w:val="00936B3E"/>
    <w:rsid w:val="009373A8"/>
    <w:rsid w:val="00941589"/>
    <w:rsid w:val="00944721"/>
    <w:rsid w:val="009469CA"/>
    <w:rsid w:val="009512D4"/>
    <w:rsid w:val="0095371C"/>
    <w:rsid w:val="00953898"/>
    <w:rsid w:val="00953CCF"/>
    <w:rsid w:val="00953EE4"/>
    <w:rsid w:val="009551CD"/>
    <w:rsid w:val="00960C1D"/>
    <w:rsid w:val="009641D7"/>
    <w:rsid w:val="00964ED2"/>
    <w:rsid w:val="0096632E"/>
    <w:rsid w:val="00974880"/>
    <w:rsid w:val="00977F49"/>
    <w:rsid w:val="00984396"/>
    <w:rsid w:val="00984DD7"/>
    <w:rsid w:val="00986BF8"/>
    <w:rsid w:val="00990282"/>
    <w:rsid w:val="0099102A"/>
    <w:rsid w:val="00997705"/>
    <w:rsid w:val="009A026D"/>
    <w:rsid w:val="009A3C8D"/>
    <w:rsid w:val="009A4834"/>
    <w:rsid w:val="009A4CE8"/>
    <w:rsid w:val="009A4F89"/>
    <w:rsid w:val="009A77AB"/>
    <w:rsid w:val="009A7C65"/>
    <w:rsid w:val="009B0325"/>
    <w:rsid w:val="009B46B3"/>
    <w:rsid w:val="009B7175"/>
    <w:rsid w:val="009B719F"/>
    <w:rsid w:val="009B77D2"/>
    <w:rsid w:val="009C6EE3"/>
    <w:rsid w:val="009D4052"/>
    <w:rsid w:val="009D6311"/>
    <w:rsid w:val="009D6583"/>
    <w:rsid w:val="009D6CFD"/>
    <w:rsid w:val="009D6D26"/>
    <w:rsid w:val="009E3241"/>
    <w:rsid w:val="009E41BB"/>
    <w:rsid w:val="009E4869"/>
    <w:rsid w:val="009E6409"/>
    <w:rsid w:val="009E6FB0"/>
    <w:rsid w:val="009E794B"/>
    <w:rsid w:val="009F1C4C"/>
    <w:rsid w:val="009F2F9D"/>
    <w:rsid w:val="009F3593"/>
    <w:rsid w:val="009F5A70"/>
    <w:rsid w:val="009F6567"/>
    <w:rsid w:val="009F72C1"/>
    <w:rsid w:val="00A00FC3"/>
    <w:rsid w:val="00A0211A"/>
    <w:rsid w:val="00A04906"/>
    <w:rsid w:val="00A06127"/>
    <w:rsid w:val="00A07FCA"/>
    <w:rsid w:val="00A11721"/>
    <w:rsid w:val="00A134F2"/>
    <w:rsid w:val="00A160C3"/>
    <w:rsid w:val="00A2080C"/>
    <w:rsid w:val="00A20875"/>
    <w:rsid w:val="00A21358"/>
    <w:rsid w:val="00A21D10"/>
    <w:rsid w:val="00A22F9A"/>
    <w:rsid w:val="00A2362D"/>
    <w:rsid w:val="00A239CF"/>
    <w:rsid w:val="00A24712"/>
    <w:rsid w:val="00A274E5"/>
    <w:rsid w:val="00A314AB"/>
    <w:rsid w:val="00A32203"/>
    <w:rsid w:val="00A3473B"/>
    <w:rsid w:val="00A4688B"/>
    <w:rsid w:val="00A51B45"/>
    <w:rsid w:val="00A53536"/>
    <w:rsid w:val="00A56DD6"/>
    <w:rsid w:val="00A5725B"/>
    <w:rsid w:val="00A63B9B"/>
    <w:rsid w:val="00A70E0A"/>
    <w:rsid w:val="00A71CC9"/>
    <w:rsid w:val="00A731C3"/>
    <w:rsid w:val="00A766EE"/>
    <w:rsid w:val="00A80F67"/>
    <w:rsid w:val="00A8457A"/>
    <w:rsid w:val="00A85D50"/>
    <w:rsid w:val="00A865AF"/>
    <w:rsid w:val="00A91282"/>
    <w:rsid w:val="00A91797"/>
    <w:rsid w:val="00A952C6"/>
    <w:rsid w:val="00A954B0"/>
    <w:rsid w:val="00A96815"/>
    <w:rsid w:val="00AA3024"/>
    <w:rsid w:val="00AA33BB"/>
    <w:rsid w:val="00AB17A8"/>
    <w:rsid w:val="00AB33D4"/>
    <w:rsid w:val="00AB3D55"/>
    <w:rsid w:val="00AB6238"/>
    <w:rsid w:val="00AC02FB"/>
    <w:rsid w:val="00AC219A"/>
    <w:rsid w:val="00AC5670"/>
    <w:rsid w:val="00AD0C0A"/>
    <w:rsid w:val="00AD150B"/>
    <w:rsid w:val="00AD2490"/>
    <w:rsid w:val="00AD285A"/>
    <w:rsid w:val="00AD338A"/>
    <w:rsid w:val="00AD4ACB"/>
    <w:rsid w:val="00AD58F3"/>
    <w:rsid w:val="00AD595A"/>
    <w:rsid w:val="00AD65B8"/>
    <w:rsid w:val="00AD7FC8"/>
    <w:rsid w:val="00AE35FB"/>
    <w:rsid w:val="00AE3BA4"/>
    <w:rsid w:val="00AE4025"/>
    <w:rsid w:val="00AE5874"/>
    <w:rsid w:val="00AF3069"/>
    <w:rsid w:val="00AF5973"/>
    <w:rsid w:val="00AF6220"/>
    <w:rsid w:val="00AF645C"/>
    <w:rsid w:val="00AF6651"/>
    <w:rsid w:val="00B00C00"/>
    <w:rsid w:val="00B01727"/>
    <w:rsid w:val="00B01959"/>
    <w:rsid w:val="00B029C2"/>
    <w:rsid w:val="00B0723E"/>
    <w:rsid w:val="00B138DA"/>
    <w:rsid w:val="00B14822"/>
    <w:rsid w:val="00B14A36"/>
    <w:rsid w:val="00B15E30"/>
    <w:rsid w:val="00B16D6E"/>
    <w:rsid w:val="00B2047F"/>
    <w:rsid w:val="00B27112"/>
    <w:rsid w:val="00B304BD"/>
    <w:rsid w:val="00B35C7F"/>
    <w:rsid w:val="00B35E6B"/>
    <w:rsid w:val="00B368CA"/>
    <w:rsid w:val="00B464B8"/>
    <w:rsid w:val="00B46F7C"/>
    <w:rsid w:val="00B525E4"/>
    <w:rsid w:val="00B52DE7"/>
    <w:rsid w:val="00B56B4F"/>
    <w:rsid w:val="00B64C3E"/>
    <w:rsid w:val="00B66794"/>
    <w:rsid w:val="00B6693A"/>
    <w:rsid w:val="00B678D8"/>
    <w:rsid w:val="00B71DEB"/>
    <w:rsid w:val="00B7429D"/>
    <w:rsid w:val="00B74D66"/>
    <w:rsid w:val="00B80394"/>
    <w:rsid w:val="00B81064"/>
    <w:rsid w:val="00B819C5"/>
    <w:rsid w:val="00B84621"/>
    <w:rsid w:val="00B93CD6"/>
    <w:rsid w:val="00B949EA"/>
    <w:rsid w:val="00BA2CB3"/>
    <w:rsid w:val="00BA5543"/>
    <w:rsid w:val="00BB0AC0"/>
    <w:rsid w:val="00BB118B"/>
    <w:rsid w:val="00BB3F87"/>
    <w:rsid w:val="00BB589F"/>
    <w:rsid w:val="00BB5B9E"/>
    <w:rsid w:val="00BC23D8"/>
    <w:rsid w:val="00BC2439"/>
    <w:rsid w:val="00BC46A3"/>
    <w:rsid w:val="00BC5C1F"/>
    <w:rsid w:val="00BD0E37"/>
    <w:rsid w:val="00BD2A39"/>
    <w:rsid w:val="00BD7CB3"/>
    <w:rsid w:val="00BE0415"/>
    <w:rsid w:val="00BE0D98"/>
    <w:rsid w:val="00BE3430"/>
    <w:rsid w:val="00BE42BF"/>
    <w:rsid w:val="00BE56BA"/>
    <w:rsid w:val="00BF389A"/>
    <w:rsid w:val="00BF4565"/>
    <w:rsid w:val="00BF7D58"/>
    <w:rsid w:val="00C03090"/>
    <w:rsid w:val="00C0495A"/>
    <w:rsid w:val="00C05C6A"/>
    <w:rsid w:val="00C07307"/>
    <w:rsid w:val="00C0799A"/>
    <w:rsid w:val="00C15123"/>
    <w:rsid w:val="00C1553A"/>
    <w:rsid w:val="00C20B61"/>
    <w:rsid w:val="00C23053"/>
    <w:rsid w:val="00C2427C"/>
    <w:rsid w:val="00C264E7"/>
    <w:rsid w:val="00C273D5"/>
    <w:rsid w:val="00C27ED9"/>
    <w:rsid w:val="00C32323"/>
    <w:rsid w:val="00C3267D"/>
    <w:rsid w:val="00C37145"/>
    <w:rsid w:val="00C373D2"/>
    <w:rsid w:val="00C40C82"/>
    <w:rsid w:val="00C4231E"/>
    <w:rsid w:val="00C47D4F"/>
    <w:rsid w:val="00C5088A"/>
    <w:rsid w:val="00C540AC"/>
    <w:rsid w:val="00C570C9"/>
    <w:rsid w:val="00C60943"/>
    <w:rsid w:val="00C644EB"/>
    <w:rsid w:val="00C64D92"/>
    <w:rsid w:val="00C66A51"/>
    <w:rsid w:val="00C66D17"/>
    <w:rsid w:val="00C67B99"/>
    <w:rsid w:val="00C70740"/>
    <w:rsid w:val="00C70829"/>
    <w:rsid w:val="00C70B79"/>
    <w:rsid w:val="00C70EB2"/>
    <w:rsid w:val="00C7161C"/>
    <w:rsid w:val="00C73FF8"/>
    <w:rsid w:val="00C7617D"/>
    <w:rsid w:val="00C777B0"/>
    <w:rsid w:val="00C77D76"/>
    <w:rsid w:val="00C811C0"/>
    <w:rsid w:val="00C81681"/>
    <w:rsid w:val="00C82F8A"/>
    <w:rsid w:val="00C857F0"/>
    <w:rsid w:val="00C90133"/>
    <w:rsid w:val="00C94080"/>
    <w:rsid w:val="00C964A3"/>
    <w:rsid w:val="00C97489"/>
    <w:rsid w:val="00CA0333"/>
    <w:rsid w:val="00CA3933"/>
    <w:rsid w:val="00CA447E"/>
    <w:rsid w:val="00CB0890"/>
    <w:rsid w:val="00CB095C"/>
    <w:rsid w:val="00CB206B"/>
    <w:rsid w:val="00CB520F"/>
    <w:rsid w:val="00CB67D6"/>
    <w:rsid w:val="00CB6DE6"/>
    <w:rsid w:val="00CC0C3C"/>
    <w:rsid w:val="00CC39E5"/>
    <w:rsid w:val="00CC3AAE"/>
    <w:rsid w:val="00CC5F61"/>
    <w:rsid w:val="00CD11DA"/>
    <w:rsid w:val="00CD5D76"/>
    <w:rsid w:val="00CD7E79"/>
    <w:rsid w:val="00CE16E5"/>
    <w:rsid w:val="00CE24BB"/>
    <w:rsid w:val="00CE416E"/>
    <w:rsid w:val="00CE5ECC"/>
    <w:rsid w:val="00CF08DE"/>
    <w:rsid w:val="00CF157D"/>
    <w:rsid w:val="00CF1DEA"/>
    <w:rsid w:val="00CF6061"/>
    <w:rsid w:val="00CF6133"/>
    <w:rsid w:val="00D02827"/>
    <w:rsid w:val="00D02A42"/>
    <w:rsid w:val="00D053FC"/>
    <w:rsid w:val="00D159A7"/>
    <w:rsid w:val="00D174A3"/>
    <w:rsid w:val="00D2253A"/>
    <w:rsid w:val="00D22542"/>
    <w:rsid w:val="00D24276"/>
    <w:rsid w:val="00D32F88"/>
    <w:rsid w:val="00D405A7"/>
    <w:rsid w:val="00D4090F"/>
    <w:rsid w:val="00D427D6"/>
    <w:rsid w:val="00D438FC"/>
    <w:rsid w:val="00D46FE7"/>
    <w:rsid w:val="00D51794"/>
    <w:rsid w:val="00D55500"/>
    <w:rsid w:val="00D570C9"/>
    <w:rsid w:val="00D60BAE"/>
    <w:rsid w:val="00D6149E"/>
    <w:rsid w:val="00D664A8"/>
    <w:rsid w:val="00D71F5B"/>
    <w:rsid w:val="00D73CB1"/>
    <w:rsid w:val="00D74C09"/>
    <w:rsid w:val="00D82683"/>
    <w:rsid w:val="00D85A5D"/>
    <w:rsid w:val="00D860B9"/>
    <w:rsid w:val="00D8634D"/>
    <w:rsid w:val="00D8640A"/>
    <w:rsid w:val="00D86730"/>
    <w:rsid w:val="00D87406"/>
    <w:rsid w:val="00D87CED"/>
    <w:rsid w:val="00D9036C"/>
    <w:rsid w:val="00D90E83"/>
    <w:rsid w:val="00D938D4"/>
    <w:rsid w:val="00D954AA"/>
    <w:rsid w:val="00D972F6"/>
    <w:rsid w:val="00DA0D2A"/>
    <w:rsid w:val="00DA6769"/>
    <w:rsid w:val="00DB0103"/>
    <w:rsid w:val="00DB1D02"/>
    <w:rsid w:val="00DB5A68"/>
    <w:rsid w:val="00DB5E98"/>
    <w:rsid w:val="00DC0148"/>
    <w:rsid w:val="00DC2690"/>
    <w:rsid w:val="00DC3967"/>
    <w:rsid w:val="00DC7BB1"/>
    <w:rsid w:val="00DD0033"/>
    <w:rsid w:val="00DD0971"/>
    <w:rsid w:val="00DD57EC"/>
    <w:rsid w:val="00DD58A7"/>
    <w:rsid w:val="00DD6B59"/>
    <w:rsid w:val="00DE70D0"/>
    <w:rsid w:val="00DE7C26"/>
    <w:rsid w:val="00DF0977"/>
    <w:rsid w:val="00DF4F61"/>
    <w:rsid w:val="00DF6950"/>
    <w:rsid w:val="00E020F5"/>
    <w:rsid w:val="00E039B3"/>
    <w:rsid w:val="00E12E7F"/>
    <w:rsid w:val="00E22506"/>
    <w:rsid w:val="00E27FB3"/>
    <w:rsid w:val="00E30A76"/>
    <w:rsid w:val="00E330B6"/>
    <w:rsid w:val="00E337F8"/>
    <w:rsid w:val="00E33ADA"/>
    <w:rsid w:val="00E358C4"/>
    <w:rsid w:val="00E424B1"/>
    <w:rsid w:val="00E46BA9"/>
    <w:rsid w:val="00E511AB"/>
    <w:rsid w:val="00E51929"/>
    <w:rsid w:val="00E56272"/>
    <w:rsid w:val="00E613A0"/>
    <w:rsid w:val="00E61D4E"/>
    <w:rsid w:val="00E62851"/>
    <w:rsid w:val="00E645A2"/>
    <w:rsid w:val="00E6646A"/>
    <w:rsid w:val="00E70009"/>
    <w:rsid w:val="00E70D7A"/>
    <w:rsid w:val="00E76D64"/>
    <w:rsid w:val="00E822BC"/>
    <w:rsid w:val="00E82C57"/>
    <w:rsid w:val="00E839DF"/>
    <w:rsid w:val="00E91539"/>
    <w:rsid w:val="00E943BA"/>
    <w:rsid w:val="00E964D9"/>
    <w:rsid w:val="00EA0B5A"/>
    <w:rsid w:val="00EA3638"/>
    <w:rsid w:val="00EA6639"/>
    <w:rsid w:val="00EA6721"/>
    <w:rsid w:val="00EB176C"/>
    <w:rsid w:val="00EB2DB9"/>
    <w:rsid w:val="00EB32F5"/>
    <w:rsid w:val="00EB561D"/>
    <w:rsid w:val="00EB5F90"/>
    <w:rsid w:val="00EC0BAB"/>
    <w:rsid w:val="00EC19BA"/>
    <w:rsid w:val="00EC218C"/>
    <w:rsid w:val="00EC3706"/>
    <w:rsid w:val="00EC3EF3"/>
    <w:rsid w:val="00EC6030"/>
    <w:rsid w:val="00ED24B6"/>
    <w:rsid w:val="00ED404E"/>
    <w:rsid w:val="00ED4D34"/>
    <w:rsid w:val="00ED5394"/>
    <w:rsid w:val="00EE24D2"/>
    <w:rsid w:val="00EE42EC"/>
    <w:rsid w:val="00EF148F"/>
    <w:rsid w:val="00EF1666"/>
    <w:rsid w:val="00EF3D8B"/>
    <w:rsid w:val="00EF6FC0"/>
    <w:rsid w:val="00EF7967"/>
    <w:rsid w:val="00F01D27"/>
    <w:rsid w:val="00F04BAF"/>
    <w:rsid w:val="00F04C91"/>
    <w:rsid w:val="00F15C86"/>
    <w:rsid w:val="00F17552"/>
    <w:rsid w:val="00F20D3C"/>
    <w:rsid w:val="00F22D90"/>
    <w:rsid w:val="00F241D3"/>
    <w:rsid w:val="00F33D17"/>
    <w:rsid w:val="00F415BB"/>
    <w:rsid w:val="00F4200F"/>
    <w:rsid w:val="00F43AC2"/>
    <w:rsid w:val="00F44671"/>
    <w:rsid w:val="00F54462"/>
    <w:rsid w:val="00F603BA"/>
    <w:rsid w:val="00F6055B"/>
    <w:rsid w:val="00F63C7E"/>
    <w:rsid w:val="00F66C3F"/>
    <w:rsid w:val="00F67D40"/>
    <w:rsid w:val="00F7303E"/>
    <w:rsid w:val="00F74B11"/>
    <w:rsid w:val="00F755BD"/>
    <w:rsid w:val="00F7715D"/>
    <w:rsid w:val="00F81233"/>
    <w:rsid w:val="00F814B5"/>
    <w:rsid w:val="00F83A65"/>
    <w:rsid w:val="00F86FE5"/>
    <w:rsid w:val="00F9133E"/>
    <w:rsid w:val="00F91F13"/>
    <w:rsid w:val="00F9488D"/>
    <w:rsid w:val="00F9601B"/>
    <w:rsid w:val="00F9703F"/>
    <w:rsid w:val="00F973FA"/>
    <w:rsid w:val="00FA1E1C"/>
    <w:rsid w:val="00FA2286"/>
    <w:rsid w:val="00FA5824"/>
    <w:rsid w:val="00FA642E"/>
    <w:rsid w:val="00FA7AA7"/>
    <w:rsid w:val="00FB18A1"/>
    <w:rsid w:val="00FB1A51"/>
    <w:rsid w:val="00FB4DE8"/>
    <w:rsid w:val="00FB583A"/>
    <w:rsid w:val="00FB7081"/>
    <w:rsid w:val="00FC60AF"/>
    <w:rsid w:val="00FD0208"/>
    <w:rsid w:val="00FD3005"/>
    <w:rsid w:val="00FD5D11"/>
    <w:rsid w:val="00FD6907"/>
    <w:rsid w:val="00FD718B"/>
    <w:rsid w:val="00FD7DFF"/>
    <w:rsid w:val="00FE0433"/>
    <w:rsid w:val="00FE0988"/>
    <w:rsid w:val="00FE1EB9"/>
    <w:rsid w:val="00FE5F2C"/>
    <w:rsid w:val="00FE7D47"/>
    <w:rsid w:val="00FF0C34"/>
    <w:rsid w:val="00FF1354"/>
    <w:rsid w:val="00FF1742"/>
    <w:rsid w:val="00FF46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5C0D0"/>
  <w15:docId w15:val="{0F2D0293-94F2-4E0C-8EA1-2296BB26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D47CD"/>
    <w:pPr>
      <w:spacing w:before="60" w:after="180" w:line="276" w:lineRule="auto"/>
    </w:p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uiPriority w:val="99"/>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uiPriority w:val="99"/>
    <w:locked/>
    <w:rsid w:val="000D53D9"/>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rsid w:val="00FE7D47"/>
    <w:rPr>
      <w:rFonts w:cs="Calibri"/>
      <w:color w:val="000000"/>
      <w:szCs w:val="24"/>
      <w:lang w:eastAsia="ja-JP"/>
    </w:rPr>
  </w:style>
  <w:style w:type="paragraph" w:styleId="ListParagraph">
    <w:name w:val="List Paragraph"/>
    <w:basedOn w:val="Normal"/>
    <w:link w:val="ListParagraphChar"/>
    <w:uiPriority w:val="34"/>
    <w:qFormat/>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10"/>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4"/>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5"/>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6"/>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7"/>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8"/>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9"/>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Normal3">
    <w:name w:val="Normal3"/>
    <w:rsid w:val="00833F25"/>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4646">
      <w:bodyDiv w:val="1"/>
      <w:marLeft w:val="0"/>
      <w:marRight w:val="0"/>
      <w:marTop w:val="0"/>
      <w:marBottom w:val="0"/>
      <w:divBdr>
        <w:top w:val="none" w:sz="0" w:space="0" w:color="auto"/>
        <w:left w:val="none" w:sz="0" w:space="0" w:color="auto"/>
        <w:bottom w:val="none" w:sz="0" w:space="0" w:color="auto"/>
        <w:right w:val="none" w:sz="0" w:space="0" w:color="auto"/>
      </w:divBdr>
    </w:div>
    <w:div w:id="65997465">
      <w:bodyDiv w:val="1"/>
      <w:marLeft w:val="0"/>
      <w:marRight w:val="0"/>
      <w:marTop w:val="0"/>
      <w:marBottom w:val="0"/>
      <w:divBdr>
        <w:top w:val="none" w:sz="0" w:space="0" w:color="auto"/>
        <w:left w:val="none" w:sz="0" w:space="0" w:color="auto"/>
        <w:bottom w:val="none" w:sz="0" w:space="0" w:color="auto"/>
        <w:right w:val="none" w:sz="0" w:space="0" w:color="auto"/>
      </w:divBdr>
    </w:div>
    <w:div w:id="273514263">
      <w:bodyDiv w:val="1"/>
      <w:marLeft w:val="0"/>
      <w:marRight w:val="0"/>
      <w:marTop w:val="0"/>
      <w:marBottom w:val="0"/>
      <w:divBdr>
        <w:top w:val="none" w:sz="0" w:space="0" w:color="auto"/>
        <w:left w:val="none" w:sz="0" w:space="0" w:color="auto"/>
        <w:bottom w:val="none" w:sz="0" w:space="0" w:color="auto"/>
        <w:right w:val="none" w:sz="0" w:space="0" w:color="auto"/>
      </w:divBdr>
      <w:divsChild>
        <w:div w:id="1747845377">
          <w:marLeft w:val="0"/>
          <w:marRight w:val="0"/>
          <w:marTop w:val="0"/>
          <w:marBottom w:val="240"/>
          <w:divBdr>
            <w:top w:val="none" w:sz="0" w:space="0" w:color="auto"/>
            <w:left w:val="none" w:sz="0" w:space="0" w:color="auto"/>
            <w:bottom w:val="none" w:sz="0" w:space="0" w:color="auto"/>
            <w:right w:val="none" w:sz="0" w:space="0" w:color="auto"/>
          </w:divBdr>
        </w:div>
      </w:divsChild>
    </w:div>
    <w:div w:id="368532979">
      <w:bodyDiv w:val="1"/>
      <w:marLeft w:val="0"/>
      <w:marRight w:val="0"/>
      <w:marTop w:val="0"/>
      <w:marBottom w:val="0"/>
      <w:divBdr>
        <w:top w:val="none" w:sz="0" w:space="0" w:color="auto"/>
        <w:left w:val="none" w:sz="0" w:space="0" w:color="auto"/>
        <w:bottom w:val="none" w:sz="0" w:space="0" w:color="auto"/>
        <w:right w:val="none" w:sz="0" w:space="0" w:color="auto"/>
      </w:divBdr>
      <w:divsChild>
        <w:div w:id="1528635958">
          <w:marLeft w:val="0"/>
          <w:marRight w:val="0"/>
          <w:marTop w:val="0"/>
          <w:marBottom w:val="240"/>
          <w:divBdr>
            <w:top w:val="none" w:sz="0" w:space="0" w:color="auto"/>
            <w:left w:val="none" w:sz="0" w:space="0" w:color="auto"/>
            <w:bottom w:val="none" w:sz="0" w:space="0" w:color="auto"/>
            <w:right w:val="none" w:sz="0" w:space="0" w:color="auto"/>
          </w:divBdr>
        </w:div>
      </w:divsChild>
    </w:div>
    <w:div w:id="766005377">
      <w:bodyDiv w:val="1"/>
      <w:marLeft w:val="0"/>
      <w:marRight w:val="0"/>
      <w:marTop w:val="0"/>
      <w:marBottom w:val="0"/>
      <w:divBdr>
        <w:top w:val="none" w:sz="0" w:space="0" w:color="auto"/>
        <w:left w:val="none" w:sz="0" w:space="0" w:color="auto"/>
        <w:bottom w:val="none" w:sz="0" w:space="0" w:color="auto"/>
        <w:right w:val="none" w:sz="0" w:space="0" w:color="auto"/>
      </w:divBdr>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803816700">
      <w:bodyDiv w:val="1"/>
      <w:marLeft w:val="0"/>
      <w:marRight w:val="0"/>
      <w:marTop w:val="0"/>
      <w:marBottom w:val="0"/>
      <w:divBdr>
        <w:top w:val="none" w:sz="0" w:space="0" w:color="auto"/>
        <w:left w:val="none" w:sz="0" w:space="0" w:color="auto"/>
        <w:bottom w:val="none" w:sz="0" w:space="0" w:color="auto"/>
        <w:right w:val="none" w:sz="0" w:space="0" w:color="auto"/>
      </w:divBdr>
    </w:div>
    <w:div w:id="879131998">
      <w:bodyDiv w:val="1"/>
      <w:marLeft w:val="0"/>
      <w:marRight w:val="0"/>
      <w:marTop w:val="0"/>
      <w:marBottom w:val="0"/>
      <w:divBdr>
        <w:top w:val="none" w:sz="0" w:space="0" w:color="auto"/>
        <w:left w:val="none" w:sz="0" w:space="0" w:color="auto"/>
        <w:bottom w:val="none" w:sz="0" w:space="0" w:color="auto"/>
        <w:right w:val="none" w:sz="0" w:space="0" w:color="auto"/>
      </w:divBdr>
    </w:div>
    <w:div w:id="925964406">
      <w:bodyDiv w:val="1"/>
      <w:marLeft w:val="0"/>
      <w:marRight w:val="0"/>
      <w:marTop w:val="0"/>
      <w:marBottom w:val="0"/>
      <w:divBdr>
        <w:top w:val="none" w:sz="0" w:space="0" w:color="auto"/>
        <w:left w:val="none" w:sz="0" w:space="0" w:color="auto"/>
        <w:bottom w:val="none" w:sz="0" w:space="0" w:color="auto"/>
        <w:right w:val="none" w:sz="0" w:space="0" w:color="auto"/>
      </w:divBdr>
    </w:div>
    <w:div w:id="1237520997">
      <w:bodyDiv w:val="1"/>
      <w:marLeft w:val="0"/>
      <w:marRight w:val="0"/>
      <w:marTop w:val="0"/>
      <w:marBottom w:val="0"/>
      <w:divBdr>
        <w:top w:val="none" w:sz="0" w:space="0" w:color="auto"/>
        <w:left w:val="none" w:sz="0" w:space="0" w:color="auto"/>
        <w:bottom w:val="none" w:sz="0" w:space="0" w:color="auto"/>
        <w:right w:val="none" w:sz="0" w:space="0" w:color="auto"/>
      </w:divBdr>
    </w:div>
    <w:div w:id="1256671737">
      <w:bodyDiv w:val="1"/>
      <w:marLeft w:val="0"/>
      <w:marRight w:val="0"/>
      <w:marTop w:val="0"/>
      <w:marBottom w:val="0"/>
      <w:divBdr>
        <w:top w:val="none" w:sz="0" w:space="0" w:color="auto"/>
        <w:left w:val="none" w:sz="0" w:space="0" w:color="auto"/>
        <w:bottom w:val="none" w:sz="0" w:space="0" w:color="auto"/>
        <w:right w:val="none" w:sz="0" w:space="0" w:color="auto"/>
      </w:divBdr>
    </w:div>
    <w:div w:id="1297175220">
      <w:bodyDiv w:val="1"/>
      <w:marLeft w:val="0"/>
      <w:marRight w:val="0"/>
      <w:marTop w:val="0"/>
      <w:marBottom w:val="0"/>
      <w:divBdr>
        <w:top w:val="none" w:sz="0" w:space="0" w:color="auto"/>
        <w:left w:val="none" w:sz="0" w:space="0" w:color="auto"/>
        <w:bottom w:val="none" w:sz="0" w:space="0" w:color="auto"/>
        <w:right w:val="none" w:sz="0" w:space="0" w:color="auto"/>
      </w:divBdr>
    </w:div>
    <w:div w:id="1315184144">
      <w:bodyDiv w:val="1"/>
      <w:marLeft w:val="0"/>
      <w:marRight w:val="0"/>
      <w:marTop w:val="0"/>
      <w:marBottom w:val="0"/>
      <w:divBdr>
        <w:top w:val="none" w:sz="0" w:space="0" w:color="auto"/>
        <w:left w:val="none" w:sz="0" w:space="0" w:color="auto"/>
        <w:bottom w:val="none" w:sz="0" w:space="0" w:color="auto"/>
        <w:right w:val="none" w:sz="0" w:space="0" w:color="auto"/>
      </w:divBdr>
    </w:div>
    <w:div w:id="1339036923">
      <w:bodyDiv w:val="1"/>
      <w:marLeft w:val="0"/>
      <w:marRight w:val="0"/>
      <w:marTop w:val="0"/>
      <w:marBottom w:val="0"/>
      <w:divBdr>
        <w:top w:val="none" w:sz="0" w:space="0" w:color="auto"/>
        <w:left w:val="none" w:sz="0" w:space="0" w:color="auto"/>
        <w:bottom w:val="none" w:sz="0" w:space="0" w:color="auto"/>
        <w:right w:val="none" w:sz="0" w:space="0" w:color="auto"/>
      </w:divBdr>
    </w:div>
    <w:div w:id="1446267765">
      <w:bodyDiv w:val="1"/>
      <w:marLeft w:val="0"/>
      <w:marRight w:val="0"/>
      <w:marTop w:val="0"/>
      <w:marBottom w:val="0"/>
      <w:divBdr>
        <w:top w:val="none" w:sz="0" w:space="0" w:color="auto"/>
        <w:left w:val="none" w:sz="0" w:space="0" w:color="auto"/>
        <w:bottom w:val="none" w:sz="0" w:space="0" w:color="auto"/>
        <w:right w:val="none" w:sz="0" w:space="0" w:color="auto"/>
      </w:divBdr>
    </w:div>
    <w:div w:id="1525358530">
      <w:bodyDiv w:val="1"/>
      <w:marLeft w:val="0"/>
      <w:marRight w:val="0"/>
      <w:marTop w:val="0"/>
      <w:marBottom w:val="0"/>
      <w:divBdr>
        <w:top w:val="none" w:sz="0" w:space="0" w:color="auto"/>
        <w:left w:val="none" w:sz="0" w:space="0" w:color="auto"/>
        <w:bottom w:val="none" w:sz="0" w:space="0" w:color="auto"/>
        <w:right w:val="none" w:sz="0" w:space="0" w:color="auto"/>
      </w:divBdr>
    </w:div>
    <w:div w:id="1626500870">
      <w:bodyDiv w:val="1"/>
      <w:marLeft w:val="0"/>
      <w:marRight w:val="0"/>
      <w:marTop w:val="0"/>
      <w:marBottom w:val="0"/>
      <w:divBdr>
        <w:top w:val="none" w:sz="0" w:space="0" w:color="auto"/>
        <w:left w:val="none" w:sz="0" w:space="0" w:color="auto"/>
        <w:bottom w:val="none" w:sz="0" w:space="0" w:color="auto"/>
        <w:right w:val="none" w:sz="0" w:space="0" w:color="auto"/>
      </w:divBdr>
    </w:div>
    <w:div w:id="1669405911">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5849">
      <w:bodyDiv w:val="1"/>
      <w:marLeft w:val="0"/>
      <w:marRight w:val="0"/>
      <w:marTop w:val="0"/>
      <w:marBottom w:val="0"/>
      <w:divBdr>
        <w:top w:val="none" w:sz="0" w:space="0" w:color="auto"/>
        <w:left w:val="none" w:sz="0" w:space="0" w:color="auto"/>
        <w:bottom w:val="none" w:sz="0" w:space="0" w:color="auto"/>
        <w:right w:val="none" w:sz="0" w:space="0" w:color="auto"/>
      </w:divBdr>
    </w:div>
    <w:div w:id="1842233989">
      <w:bodyDiv w:val="1"/>
      <w:marLeft w:val="0"/>
      <w:marRight w:val="0"/>
      <w:marTop w:val="0"/>
      <w:marBottom w:val="0"/>
      <w:divBdr>
        <w:top w:val="none" w:sz="0" w:space="0" w:color="auto"/>
        <w:left w:val="none" w:sz="0" w:space="0" w:color="auto"/>
        <w:bottom w:val="none" w:sz="0" w:space="0" w:color="auto"/>
        <w:right w:val="none" w:sz="0" w:space="0" w:color="auto"/>
      </w:divBdr>
    </w:div>
    <w:div w:id="1942059228">
      <w:bodyDiv w:val="1"/>
      <w:marLeft w:val="0"/>
      <w:marRight w:val="0"/>
      <w:marTop w:val="0"/>
      <w:marBottom w:val="0"/>
      <w:divBdr>
        <w:top w:val="none" w:sz="0" w:space="0" w:color="auto"/>
        <w:left w:val="none" w:sz="0" w:space="0" w:color="auto"/>
        <w:bottom w:val="none" w:sz="0" w:space="0" w:color="auto"/>
        <w:right w:val="none" w:sz="0" w:space="0" w:color="auto"/>
      </w:divBdr>
    </w:div>
    <w:div w:id="2085956958">
      <w:bodyDiv w:val="1"/>
      <w:marLeft w:val="0"/>
      <w:marRight w:val="0"/>
      <w:marTop w:val="0"/>
      <w:marBottom w:val="0"/>
      <w:divBdr>
        <w:top w:val="none" w:sz="0" w:space="0" w:color="auto"/>
        <w:left w:val="none" w:sz="0" w:space="0" w:color="auto"/>
        <w:bottom w:val="none" w:sz="0" w:space="0" w:color="auto"/>
        <w:right w:val="none" w:sz="0" w:space="0" w:color="auto"/>
      </w:divBdr>
    </w:div>
    <w:div w:id="2106804948">
      <w:bodyDiv w:val="1"/>
      <w:marLeft w:val="0"/>
      <w:marRight w:val="0"/>
      <w:marTop w:val="0"/>
      <w:marBottom w:val="0"/>
      <w:divBdr>
        <w:top w:val="none" w:sz="0" w:space="0" w:color="auto"/>
        <w:left w:val="none" w:sz="0" w:space="0" w:color="auto"/>
        <w:bottom w:val="none" w:sz="0" w:space="0" w:color="auto"/>
        <w:right w:val="none" w:sz="0" w:space="0" w:color="auto"/>
      </w:divBdr>
    </w:div>
    <w:div w:id="21257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poem/1712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etryfoundation.org/poem/23727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0F1B-6F24-4E7C-8C75-4AB3FDE8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13</cp:revision>
  <cp:lastPrinted>2014-09-13T03:31:00Z</cp:lastPrinted>
  <dcterms:created xsi:type="dcterms:W3CDTF">2014-09-10T22:18:00Z</dcterms:created>
  <dcterms:modified xsi:type="dcterms:W3CDTF">2014-09-13T09:15:00Z</dcterms:modified>
</cp:coreProperties>
</file>